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2A422" w14:textId="158EFDD0" w:rsidR="00026630" w:rsidRPr="00026630" w:rsidRDefault="00026630" w:rsidP="00BE3D8E">
      <w:pPr>
        <w:ind w:left="720" w:hanging="360"/>
        <w:jc w:val="both"/>
        <w:rPr>
          <w:b/>
          <w:bCs/>
        </w:rPr>
      </w:pPr>
      <w:r w:rsidRPr="00026630">
        <w:rPr>
          <w:b/>
          <w:bCs/>
        </w:rPr>
        <w:t>NO</w:t>
      </w:r>
    </w:p>
    <w:p w14:paraId="517A3E39" w14:textId="1E9C2834" w:rsidR="008E5050" w:rsidRPr="00AE1D95" w:rsidRDefault="00CB5C3D" w:rsidP="00BE3D8E">
      <w:pPr>
        <w:pStyle w:val="Prrafodelista"/>
        <w:numPr>
          <w:ilvl w:val="0"/>
          <w:numId w:val="1"/>
        </w:numPr>
        <w:jc w:val="both"/>
        <w:rPr>
          <w:rFonts w:ascii="Humanst521 BT" w:hAnsi="Humanst521 BT"/>
          <w:b/>
          <w:bCs/>
        </w:rPr>
      </w:pPr>
      <w:r w:rsidRPr="00AE1D95">
        <w:rPr>
          <w:rFonts w:ascii="Humanst521 BT" w:hAnsi="Humanst521 BT"/>
          <w:b/>
          <w:bCs/>
        </w:rPr>
        <w:t>Características</w:t>
      </w:r>
    </w:p>
    <w:p w14:paraId="60F232AD" w14:textId="4C4C7097" w:rsidR="006E1B3A" w:rsidRPr="000F0707" w:rsidRDefault="000F0707" w:rsidP="00BE3D8E">
      <w:pPr>
        <w:pStyle w:val="Prrafodelista"/>
        <w:jc w:val="both"/>
        <w:rPr>
          <w:rFonts w:ascii="Humanst521 BT" w:hAnsi="Humanst521 BT"/>
        </w:rPr>
      </w:pPr>
      <w:r>
        <w:rPr>
          <w:rFonts w:ascii="Humanst521 BT" w:hAnsi="Humanst521 BT"/>
        </w:rPr>
        <w:t>E</w:t>
      </w:r>
      <w:r w:rsidR="00010BE8">
        <w:rPr>
          <w:rFonts w:ascii="Humanst521 BT" w:hAnsi="Humanst521 BT"/>
        </w:rPr>
        <w:t>l model</w:t>
      </w:r>
      <w:r w:rsidR="00D81A62">
        <w:rPr>
          <w:rFonts w:ascii="Humanst521 BT" w:hAnsi="Humanst521 BT"/>
        </w:rPr>
        <w:t xml:space="preserve">o </w:t>
      </w:r>
      <w:r w:rsidR="00BE2495">
        <w:rPr>
          <w:rFonts w:ascii="Humanst521 BT" w:hAnsi="Humanst521 BT"/>
        </w:rPr>
        <w:t>cont</w:t>
      </w:r>
      <w:r w:rsidR="004C646B">
        <w:rPr>
          <w:rFonts w:ascii="Humanst521 BT" w:hAnsi="Humanst521 BT"/>
        </w:rPr>
        <w:t xml:space="preserve">iene </w:t>
      </w:r>
      <w:r w:rsidR="00883BF5">
        <w:rPr>
          <w:rFonts w:ascii="Humanst521 BT" w:hAnsi="Humanst521 BT"/>
        </w:rPr>
        <w:t xml:space="preserve">6 </w:t>
      </w:r>
      <w:r w:rsidR="00902005">
        <w:rPr>
          <w:rFonts w:ascii="Humanst521 BT" w:hAnsi="Humanst521 BT"/>
        </w:rPr>
        <w:t>índices</w:t>
      </w:r>
      <w:r w:rsidR="00F22D80">
        <w:rPr>
          <w:rFonts w:ascii="Humanst521 BT" w:hAnsi="Humanst521 BT"/>
        </w:rPr>
        <w:t xml:space="preserve"> de pr</w:t>
      </w:r>
      <w:r w:rsidR="00387937">
        <w:rPr>
          <w:rFonts w:ascii="Humanst521 BT" w:hAnsi="Humanst521 BT"/>
        </w:rPr>
        <w:t>imer n</w:t>
      </w:r>
      <w:r w:rsidR="00BC4B70">
        <w:rPr>
          <w:rFonts w:ascii="Humanst521 BT" w:hAnsi="Humanst521 BT"/>
        </w:rPr>
        <w:t>ivel</w:t>
      </w:r>
      <w:r w:rsidR="00975A9F">
        <w:rPr>
          <w:rFonts w:ascii="Humanst521 BT" w:hAnsi="Humanst521 BT"/>
        </w:rPr>
        <w:t>, 1</w:t>
      </w:r>
      <w:r w:rsidR="00FD6F8E">
        <w:rPr>
          <w:rFonts w:ascii="Humanst521 BT" w:hAnsi="Humanst521 BT"/>
        </w:rPr>
        <w:t xml:space="preserve">8 </w:t>
      </w:r>
      <w:r w:rsidR="00D11BF4">
        <w:rPr>
          <w:rFonts w:ascii="Humanst521 BT" w:hAnsi="Humanst521 BT"/>
        </w:rPr>
        <w:t>índices</w:t>
      </w:r>
      <w:r w:rsidR="00CB7D6B">
        <w:rPr>
          <w:rFonts w:ascii="Humanst521 BT" w:hAnsi="Humanst521 BT"/>
        </w:rPr>
        <w:t xml:space="preserve"> d</w:t>
      </w:r>
      <w:r w:rsidR="00E977B9">
        <w:rPr>
          <w:rFonts w:ascii="Humanst521 BT" w:hAnsi="Humanst521 BT"/>
        </w:rPr>
        <w:t>e segun</w:t>
      </w:r>
      <w:r w:rsidR="00A63973">
        <w:rPr>
          <w:rFonts w:ascii="Humanst521 BT" w:hAnsi="Humanst521 BT"/>
        </w:rPr>
        <w:t>do nivel</w:t>
      </w:r>
      <w:r w:rsidR="00F5308C">
        <w:rPr>
          <w:rFonts w:ascii="Humanst521 BT" w:hAnsi="Humanst521 BT"/>
        </w:rPr>
        <w:t xml:space="preserve"> y </w:t>
      </w:r>
      <w:r w:rsidR="00237993">
        <w:rPr>
          <w:rFonts w:ascii="Humanst521 BT" w:hAnsi="Humanst521 BT"/>
        </w:rPr>
        <w:t xml:space="preserve">61 </w:t>
      </w:r>
      <w:r w:rsidR="00EF4C52">
        <w:rPr>
          <w:rFonts w:ascii="Humanst521 BT" w:hAnsi="Humanst521 BT"/>
        </w:rPr>
        <w:t>índices</w:t>
      </w:r>
      <w:r w:rsidR="00167F78">
        <w:rPr>
          <w:rFonts w:ascii="Humanst521 BT" w:hAnsi="Humanst521 BT"/>
        </w:rPr>
        <w:t xml:space="preserve"> de </w:t>
      </w:r>
      <w:r w:rsidR="005045D1">
        <w:rPr>
          <w:rFonts w:ascii="Humanst521 BT" w:hAnsi="Humanst521 BT"/>
        </w:rPr>
        <w:t>ter</w:t>
      </w:r>
      <w:r w:rsidR="00274D07">
        <w:rPr>
          <w:rFonts w:ascii="Humanst521 BT" w:hAnsi="Humanst521 BT"/>
        </w:rPr>
        <w:t>cer</w:t>
      </w:r>
      <w:r w:rsidR="00B23A12">
        <w:rPr>
          <w:rFonts w:ascii="Humanst521 BT" w:hAnsi="Humanst521 BT"/>
        </w:rPr>
        <w:t xml:space="preserve"> nivel</w:t>
      </w:r>
      <w:r w:rsidR="00433808">
        <w:rPr>
          <w:rFonts w:ascii="Humanst521 BT" w:hAnsi="Humanst521 BT"/>
        </w:rPr>
        <w:t>.</w:t>
      </w:r>
    </w:p>
    <w:p w14:paraId="755BC65B" w14:textId="0405D723" w:rsidR="7295A3DF" w:rsidRDefault="7295A3DF" w:rsidP="00BE3D8E">
      <w:pPr>
        <w:pStyle w:val="Prrafodelista"/>
        <w:jc w:val="both"/>
        <w:rPr>
          <w:rFonts w:ascii="Humanst521 BT" w:hAnsi="Humanst521 BT"/>
        </w:rPr>
      </w:pPr>
      <w:r w:rsidRPr="00BE3D8E">
        <w:rPr>
          <w:rFonts w:ascii="Humanst521 BT" w:hAnsi="Humanst521 BT"/>
          <w:u w:val="single"/>
        </w:rPr>
        <w:t>Dimensiones:</w:t>
      </w:r>
      <w:r w:rsidRPr="00AE1D95">
        <w:rPr>
          <w:rFonts w:ascii="Humanst521 BT" w:hAnsi="Humanst521 BT"/>
        </w:rPr>
        <w:t xml:space="preserve"> diseño de alto nivel, infraestructura, proceso comercial de consulta de costos, gestión profesional, integración integral y desempeño de costos digitale</w:t>
      </w:r>
      <w:r w:rsidR="00882614">
        <w:rPr>
          <w:rFonts w:ascii="Humanst521 BT" w:hAnsi="Humanst521 BT"/>
        </w:rPr>
        <w:t>s</w:t>
      </w:r>
      <w:r w:rsidR="00980D9C">
        <w:rPr>
          <w:rFonts w:ascii="Humanst521 BT" w:hAnsi="Humanst521 BT"/>
        </w:rPr>
        <w:t>.</w:t>
      </w:r>
    </w:p>
    <w:p w14:paraId="79BF3A86" w14:textId="11C2C150" w:rsidR="00980D9C" w:rsidRDefault="00980D9C" w:rsidP="00BE3D8E">
      <w:pPr>
        <w:pStyle w:val="Prrafodelista"/>
        <w:jc w:val="both"/>
        <w:rPr>
          <w:rFonts w:ascii="Humanst521 BT" w:hAnsi="Humanst521 BT"/>
        </w:rPr>
      </w:pPr>
      <w:r w:rsidRPr="002C4E1E">
        <w:rPr>
          <w:rFonts w:ascii="Humanst521 BT" w:hAnsi="Humanst521 BT"/>
          <w:u w:val="single"/>
        </w:rPr>
        <w:t>Diseño de alto nivel:</w:t>
      </w:r>
      <w:r>
        <w:rPr>
          <w:rFonts w:ascii="Humanst521 BT" w:hAnsi="Humanst521 BT"/>
        </w:rPr>
        <w:t xml:space="preserve"> determina cómo llevar a cabo la transformación digital y a qué tipo de costo.</w:t>
      </w:r>
      <w:r w:rsidR="00BF0F32">
        <w:rPr>
          <w:rFonts w:ascii="Humanst521 BT" w:hAnsi="Humanst521 BT"/>
        </w:rPr>
        <w:t xml:space="preserve"> </w:t>
      </w:r>
    </w:p>
    <w:p w14:paraId="54F68BF2" w14:textId="0AD02CBD" w:rsidR="00B43917" w:rsidRDefault="00B43917" w:rsidP="00BE3D8E">
      <w:pPr>
        <w:pStyle w:val="Prrafodelista"/>
        <w:jc w:val="both"/>
        <w:rPr>
          <w:rFonts w:ascii="Humanst521 BT" w:hAnsi="Humanst521 BT"/>
        </w:rPr>
      </w:pPr>
      <w:r w:rsidRPr="00BE3D8E">
        <w:rPr>
          <w:rFonts w:ascii="Humanst521 BT" w:hAnsi="Humanst521 BT"/>
          <w:u w:val="single"/>
        </w:rPr>
        <w:t>Infraestructura:</w:t>
      </w:r>
      <w:r>
        <w:rPr>
          <w:rFonts w:ascii="Humanst521 BT" w:hAnsi="Humanst521 BT"/>
        </w:rPr>
        <w:t xml:space="preserve"> </w:t>
      </w:r>
      <w:r w:rsidR="008828F2">
        <w:rPr>
          <w:rFonts w:ascii="Humanst521 BT" w:hAnsi="Humanst521 BT"/>
        </w:rPr>
        <w:t xml:space="preserve">es una condición necesaria para que las empresas </w:t>
      </w:r>
      <w:r w:rsidR="009D2E77">
        <w:rPr>
          <w:rFonts w:ascii="Humanst521 BT" w:hAnsi="Humanst521 BT"/>
        </w:rPr>
        <w:t>de consulta de costos lleven a cabo la transformación digital</w:t>
      </w:r>
      <w:r w:rsidR="00012998">
        <w:rPr>
          <w:rFonts w:ascii="Humanst521 BT" w:hAnsi="Humanst521 BT"/>
        </w:rPr>
        <w:t xml:space="preserve">. </w:t>
      </w:r>
      <w:r w:rsidR="00012998" w:rsidRPr="00012998">
        <w:rPr>
          <w:rFonts w:ascii="Humanst521 BT" w:hAnsi="Humanst521 BT"/>
        </w:rPr>
        <w:t>Las empresas de consulta de costos se centran en la capacidad de construcción de costos inteligentes y los sistemas de protección de seguridad digital en la infraestructura digital.</w:t>
      </w:r>
    </w:p>
    <w:p w14:paraId="245D132B" w14:textId="3E4D9633" w:rsidR="004000AC" w:rsidRDefault="004000AC" w:rsidP="00BE3D8E">
      <w:pPr>
        <w:pStyle w:val="Prrafodelista"/>
        <w:jc w:val="both"/>
        <w:rPr>
          <w:rFonts w:ascii="Humanst521 BT" w:hAnsi="Humanst521 BT"/>
        </w:rPr>
      </w:pPr>
      <w:r w:rsidRPr="00BE3D8E">
        <w:rPr>
          <w:rFonts w:ascii="Humanst521 BT" w:hAnsi="Humanst521 BT"/>
          <w:u w:val="single"/>
        </w:rPr>
        <w:t>Proceso comercial de consulta de costos</w:t>
      </w:r>
      <w:r>
        <w:rPr>
          <w:rFonts w:ascii="Humanst521 BT" w:hAnsi="Humanst521 BT"/>
        </w:rPr>
        <w:t>:</w:t>
      </w:r>
      <w:r w:rsidR="002011B9">
        <w:rPr>
          <w:rFonts w:ascii="Humanst521 BT" w:hAnsi="Humanst521 BT"/>
        </w:rPr>
        <w:t xml:space="preserve"> </w:t>
      </w:r>
      <w:r w:rsidR="002011B9" w:rsidRPr="002011B9">
        <w:rPr>
          <w:rFonts w:ascii="Humanst521 BT" w:hAnsi="Humanst521 BT"/>
        </w:rPr>
        <w:t>tiene como objetivo principal evaluar la aplicación de la tecnología digital por parte de las empresas de consulta de costos en el proceso comercial, incluida la etapa de toma de decisiones del proyecto, la etapa de estudio y diseño, la etapa de implementación del proyecto, la etapa de aceptación de finalización y la etapa de operación y mantenimiento.</w:t>
      </w:r>
    </w:p>
    <w:p w14:paraId="1717C8C6" w14:textId="529E2157" w:rsidR="002011B9" w:rsidRDefault="00673514" w:rsidP="00BE3D8E">
      <w:pPr>
        <w:pStyle w:val="Prrafodelista"/>
        <w:jc w:val="both"/>
        <w:rPr>
          <w:rFonts w:ascii="Humanst521 BT" w:hAnsi="Humanst521 BT"/>
        </w:rPr>
      </w:pPr>
      <w:r w:rsidRPr="00BE3D8E">
        <w:rPr>
          <w:rFonts w:ascii="Humanst521 BT" w:hAnsi="Humanst521 BT"/>
          <w:u w:val="single"/>
        </w:rPr>
        <w:t>Gestión profesional:</w:t>
      </w:r>
      <w:r>
        <w:rPr>
          <w:rFonts w:ascii="Humanst521 BT" w:hAnsi="Humanst521 BT"/>
        </w:rPr>
        <w:t xml:space="preserve"> </w:t>
      </w:r>
      <w:r w:rsidRPr="00673514">
        <w:rPr>
          <w:rFonts w:ascii="Humanst521 BT" w:hAnsi="Humanst521 BT"/>
        </w:rPr>
        <w:t>refleja principalmente la madurez digital de varios negocios de gestión de empresas de consulta de costos e investiga el grado de digitalización desde cuatro aspectos, a saber, estructura organizacional, gestión financiera, gestión de recursos humanos e I+D.</w:t>
      </w:r>
    </w:p>
    <w:p w14:paraId="07B93BB6" w14:textId="63FBEA2D" w:rsidR="00F263BB" w:rsidRDefault="00F263BB" w:rsidP="00BE3D8E">
      <w:pPr>
        <w:pStyle w:val="Prrafodelista"/>
        <w:jc w:val="both"/>
        <w:rPr>
          <w:rFonts w:ascii="Humanst521 BT" w:hAnsi="Humanst521 BT"/>
        </w:rPr>
      </w:pPr>
      <w:r w:rsidRPr="00BE3D8E">
        <w:rPr>
          <w:rFonts w:ascii="Humanst521 BT" w:hAnsi="Humanst521 BT"/>
          <w:u w:val="single"/>
        </w:rPr>
        <w:t>La integración integral:</w:t>
      </w:r>
      <w:r w:rsidR="002C0A58">
        <w:rPr>
          <w:rFonts w:ascii="Humanst521 BT" w:hAnsi="Humanst521 BT"/>
        </w:rPr>
        <w:t xml:space="preserve"> </w:t>
      </w:r>
      <w:r w:rsidR="002C0A58" w:rsidRPr="002C0A58">
        <w:rPr>
          <w:rFonts w:ascii="Humanst521 BT" w:hAnsi="Humanst521 BT"/>
        </w:rPr>
        <w:t>refleja principalmente la integración vertical entre departamentos y procesos de negocio dentro de una empresa, así como la integración horizontal entre diferentes empresas.</w:t>
      </w:r>
    </w:p>
    <w:p w14:paraId="20ACCCF7" w14:textId="62BDF0DA" w:rsidR="002C0A58" w:rsidRDefault="00F7147F" w:rsidP="00BE3D8E">
      <w:pPr>
        <w:pStyle w:val="Prrafodelista"/>
        <w:jc w:val="both"/>
        <w:rPr>
          <w:rFonts w:ascii="Humanst521 BT" w:hAnsi="Humanst521 BT"/>
        </w:rPr>
      </w:pPr>
      <w:r w:rsidRPr="00BE3D8E">
        <w:rPr>
          <w:rFonts w:ascii="Humanst521 BT" w:hAnsi="Humanst521 BT"/>
          <w:u w:val="single"/>
        </w:rPr>
        <w:t>Desempeño de costos digitales:</w:t>
      </w:r>
      <w:r w:rsidR="00BE3D8E">
        <w:rPr>
          <w:rFonts w:ascii="Humanst521 BT" w:hAnsi="Humanst521 BT"/>
        </w:rPr>
        <w:t xml:space="preserve"> r</w:t>
      </w:r>
      <w:r w:rsidR="00BE3D8E" w:rsidRPr="00BE3D8E">
        <w:rPr>
          <w:rFonts w:ascii="Humanst521 BT" w:hAnsi="Humanst521 BT"/>
        </w:rPr>
        <w:t>efleja la mejora de los beneficios y la mejora de la eficiencia de la transformación digital empresarial a partir de la medición de los beneficios y la medición de la eficiencia.</w:t>
      </w:r>
    </w:p>
    <w:p w14:paraId="1134E462" w14:textId="77777777" w:rsidR="00453023" w:rsidRPr="00AE1D95" w:rsidRDefault="00453023" w:rsidP="00BE3D8E">
      <w:pPr>
        <w:pStyle w:val="Prrafodelista"/>
        <w:jc w:val="both"/>
        <w:rPr>
          <w:rFonts w:ascii="Humanst521 BT" w:hAnsi="Humanst521 BT"/>
          <w:b/>
          <w:bCs/>
        </w:rPr>
      </w:pPr>
    </w:p>
    <w:p w14:paraId="2A12EB67" w14:textId="319B5A4F" w:rsidR="00CB5C3D" w:rsidRDefault="00CB5C3D" w:rsidP="00BE3D8E">
      <w:pPr>
        <w:pStyle w:val="Prrafodelista"/>
        <w:numPr>
          <w:ilvl w:val="0"/>
          <w:numId w:val="1"/>
        </w:numPr>
        <w:jc w:val="both"/>
        <w:rPr>
          <w:rFonts w:ascii="Humanst521 BT" w:hAnsi="Humanst521 BT"/>
          <w:b/>
          <w:bCs/>
        </w:rPr>
      </w:pPr>
      <w:r w:rsidRPr="00AE1D95">
        <w:rPr>
          <w:rFonts w:ascii="Humanst521 BT" w:hAnsi="Humanst521 BT"/>
          <w:b/>
          <w:bCs/>
        </w:rPr>
        <w:t xml:space="preserve">Fortalezas </w:t>
      </w:r>
    </w:p>
    <w:p w14:paraId="1A4F1F06" w14:textId="4EF48041" w:rsidR="00F235A3" w:rsidRPr="00F235A3" w:rsidRDefault="00F235A3" w:rsidP="00F235A3">
      <w:pPr>
        <w:pStyle w:val="Prrafodelista"/>
        <w:jc w:val="both"/>
        <w:rPr>
          <w:rFonts w:ascii="Humanst521 BT" w:hAnsi="Humanst521 BT"/>
        </w:rPr>
      </w:pPr>
      <w:r w:rsidRPr="00F235A3">
        <w:rPr>
          <w:rFonts w:ascii="Humanst521 BT" w:hAnsi="Humanst521 BT"/>
        </w:rPr>
        <w:t xml:space="preserve">Permite a las empresas identificar no solo sus fortalezas, sino también sus debilidades en la transformación digital, lo que es </w:t>
      </w:r>
      <w:r>
        <w:rPr>
          <w:rFonts w:ascii="Humanst521 BT" w:hAnsi="Humanst521 BT"/>
        </w:rPr>
        <w:t>importante</w:t>
      </w:r>
      <w:r w:rsidRPr="00F235A3">
        <w:rPr>
          <w:rFonts w:ascii="Humanst521 BT" w:hAnsi="Humanst521 BT"/>
        </w:rPr>
        <w:t xml:space="preserve"> para el desarrollo de estrategias de mejora</w:t>
      </w:r>
    </w:p>
    <w:p w14:paraId="6A5E7D6D" w14:textId="5ED99712" w:rsidR="009D5B43" w:rsidRPr="00AE1D95" w:rsidRDefault="009D5B43" w:rsidP="00BE3D8E">
      <w:pPr>
        <w:pStyle w:val="Prrafodelista"/>
        <w:jc w:val="both"/>
        <w:rPr>
          <w:rFonts w:ascii="Humanst521 BT" w:hAnsi="Humanst521 BT"/>
          <w:b/>
          <w:bCs/>
        </w:rPr>
      </w:pPr>
    </w:p>
    <w:p w14:paraId="662F6A9D" w14:textId="2AEEA025" w:rsidR="00CB5C3D" w:rsidRDefault="00CB5C3D" w:rsidP="00BE3D8E">
      <w:pPr>
        <w:pStyle w:val="Prrafodelista"/>
        <w:numPr>
          <w:ilvl w:val="0"/>
          <w:numId w:val="1"/>
        </w:numPr>
        <w:jc w:val="both"/>
        <w:rPr>
          <w:rFonts w:ascii="Humanst521 BT" w:hAnsi="Humanst521 BT"/>
          <w:b/>
          <w:bCs/>
        </w:rPr>
      </w:pPr>
      <w:r w:rsidRPr="00AE1D95">
        <w:rPr>
          <w:rFonts w:ascii="Humanst521 BT" w:hAnsi="Humanst521 BT"/>
          <w:b/>
          <w:bCs/>
        </w:rPr>
        <w:t>Debilidades</w:t>
      </w:r>
    </w:p>
    <w:p w14:paraId="6CB32884" w14:textId="5752B275" w:rsidR="00BC70BC" w:rsidRDefault="001B78A1" w:rsidP="001B78A1">
      <w:pPr>
        <w:ind w:left="720"/>
        <w:jc w:val="both"/>
        <w:rPr>
          <w:rFonts w:ascii="Humanst521 BT" w:hAnsi="Humanst521 BT"/>
        </w:rPr>
      </w:pPr>
      <w:r>
        <w:rPr>
          <w:rFonts w:ascii="Humanst521 BT" w:hAnsi="Humanst521 BT"/>
        </w:rPr>
        <w:t xml:space="preserve">Es posible que el modelo no represente completamente a toda la industria de consultas de costos debido al número </w:t>
      </w:r>
      <w:r w:rsidR="005C2290">
        <w:rPr>
          <w:rFonts w:ascii="Humanst521 BT" w:hAnsi="Humanst521 BT"/>
        </w:rPr>
        <w:t>limitado de cuestionarios.</w:t>
      </w:r>
    </w:p>
    <w:p w14:paraId="1EE8202F" w14:textId="6A901CB5" w:rsidR="00AC47DA" w:rsidRPr="001B78A1" w:rsidRDefault="00AC47DA" w:rsidP="00AC47DA">
      <w:pPr>
        <w:ind w:left="720"/>
        <w:jc w:val="both"/>
        <w:rPr>
          <w:rFonts w:ascii="Humanst521 BT" w:hAnsi="Humanst521 BT"/>
        </w:rPr>
      </w:pPr>
      <w:r w:rsidRPr="00AC47DA">
        <w:rPr>
          <w:rFonts w:ascii="Humanst521 BT" w:hAnsi="Humanst521 BT"/>
        </w:rPr>
        <w:t>La implementación del modelo puede requerir recursos significativos en términos de tiempo y personal para la recopilación de datos y la evaluación</w:t>
      </w:r>
    </w:p>
    <w:p w14:paraId="69E193A0" w14:textId="0B980D78" w:rsidR="00CB5C3D" w:rsidRDefault="00CB5C3D" w:rsidP="00BE3D8E">
      <w:pPr>
        <w:pStyle w:val="Prrafodelista"/>
        <w:numPr>
          <w:ilvl w:val="0"/>
          <w:numId w:val="1"/>
        </w:numPr>
        <w:jc w:val="both"/>
        <w:rPr>
          <w:rFonts w:ascii="Humanst521 BT" w:hAnsi="Humanst521 BT"/>
          <w:b/>
          <w:bCs/>
        </w:rPr>
      </w:pPr>
      <w:r w:rsidRPr="00AE1D95">
        <w:rPr>
          <w:rFonts w:ascii="Humanst521 BT" w:hAnsi="Humanst521 BT"/>
          <w:b/>
          <w:bCs/>
        </w:rPr>
        <w:t>Relevancia</w:t>
      </w:r>
    </w:p>
    <w:p w14:paraId="72D0CB7F" w14:textId="33C7F6A2" w:rsidR="001C25D9" w:rsidRPr="001C25D9" w:rsidRDefault="001C25D9" w:rsidP="001C25D9">
      <w:pPr>
        <w:pStyle w:val="Prrafodelista"/>
        <w:jc w:val="both"/>
        <w:rPr>
          <w:rFonts w:ascii="Humanst521 BT" w:hAnsi="Humanst521 BT"/>
        </w:rPr>
      </w:pPr>
      <w:r w:rsidRPr="001C25D9">
        <w:rPr>
          <w:rFonts w:ascii="Humanst521 BT" w:hAnsi="Humanst521 BT"/>
        </w:rPr>
        <w:t>A diferencia de muchos modelos que se centran en la manufactura, este modelo se enfoca en la industria de servicios, específicamente en las empresas de consulta de costos, lo que lo hace particularmente relevante para este sector.</w:t>
      </w:r>
    </w:p>
    <w:p w14:paraId="4F1BB98D" w14:textId="77777777" w:rsidR="001C25D9" w:rsidRPr="001C25D9" w:rsidRDefault="001C25D9" w:rsidP="001C25D9">
      <w:pPr>
        <w:pStyle w:val="Prrafodelista"/>
        <w:jc w:val="both"/>
        <w:rPr>
          <w:rFonts w:ascii="Humanst521 BT" w:hAnsi="Humanst521 BT"/>
        </w:rPr>
      </w:pPr>
    </w:p>
    <w:p w14:paraId="5CFDB80B" w14:textId="194D8596" w:rsidR="00AC47DA" w:rsidRPr="001C25D9" w:rsidRDefault="001C25D9" w:rsidP="001C25D9">
      <w:pPr>
        <w:pStyle w:val="Prrafodelista"/>
        <w:jc w:val="both"/>
        <w:rPr>
          <w:rFonts w:ascii="Humanst521 BT" w:hAnsi="Humanst521 BT"/>
        </w:rPr>
      </w:pPr>
      <w:r w:rsidRPr="001C25D9">
        <w:rPr>
          <w:rFonts w:ascii="Humanst521 BT" w:hAnsi="Humanst521 BT"/>
        </w:rPr>
        <w:lastRenderedPageBreak/>
        <w:t>Dado que la industria de consulta de costos se basa en gran medida en datos, el modelo promueve la importancia de la gestión y el análisis de datos, lo que es crucial para la toma de decisiones informadas</w:t>
      </w:r>
    </w:p>
    <w:p w14:paraId="3349F38D" w14:textId="77777777" w:rsidR="00AC47DA" w:rsidRPr="00AE1D95" w:rsidRDefault="00AC47DA" w:rsidP="00AC47DA">
      <w:pPr>
        <w:pStyle w:val="Prrafodelista"/>
        <w:jc w:val="both"/>
        <w:rPr>
          <w:rFonts w:ascii="Humanst521 BT" w:hAnsi="Humanst521 BT"/>
          <w:b/>
          <w:bCs/>
        </w:rPr>
      </w:pPr>
    </w:p>
    <w:p w14:paraId="15748652" w14:textId="1BB06863" w:rsidR="00CB5C3D" w:rsidRDefault="00CB5C3D" w:rsidP="00BE3D8E">
      <w:pPr>
        <w:pStyle w:val="Prrafodelista"/>
        <w:numPr>
          <w:ilvl w:val="0"/>
          <w:numId w:val="1"/>
        </w:numPr>
        <w:jc w:val="both"/>
        <w:rPr>
          <w:rFonts w:ascii="Humanst521 BT" w:hAnsi="Humanst521 BT"/>
          <w:b/>
          <w:bCs/>
        </w:rPr>
      </w:pPr>
      <w:r w:rsidRPr="00AE1D95">
        <w:rPr>
          <w:rFonts w:ascii="Humanst521 BT" w:hAnsi="Humanst521 BT"/>
          <w:b/>
          <w:bCs/>
        </w:rPr>
        <w:t>Ap</w:t>
      </w:r>
      <w:r w:rsidR="00887D08">
        <w:rPr>
          <w:rFonts w:ascii="Humanst521 BT" w:hAnsi="Humanst521 BT"/>
          <w:b/>
          <w:bCs/>
        </w:rPr>
        <w:t>licabilidad</w:t>
      </w:r>
    </w:p>
    <w:p w14:paraId="4E86C4D7" w14:textId="6E9CA1A3" w:rsidR="00BD0286" w:rsidRPr="00BD0286" w:rsidRDefault="00BD0286" w:rsidP="00BD0286">
      <w:pPr>
        <w:pStyle w:val="Prrafodelista"/>
        <w:jc w:val="both"/>
        <w:rPr>
          <w:rFonts w:ascii="Humanst521 BT" w:hAnsi="Humanst521 BT"/>
        </w:rPr>
      </w:pPr>
      <w:r w:rsidRPr="00BD0286">
        <w:rPr>
          <w:rFonts w:ascii="Humanst521 BT" w:hAnsi="Humanst521 BT"/>
        </w:rPr>
        <w:t>El modelo está diseñado para abordar las particularidades de la gestión de costos en proyectos de construcción, lo que lo hace especialmente relevante para las empresas que operan en este ámbito. Esto incluye la preparación de estudios de viabilidad, estimaciones de inversión y presupuestos</w:t>
      </w:r>
    </w:p>
    <w:p w14:paraId="632650E5" w14:textId="77777777" w:rsidR="00887D08" w:rsidRDefault="00887D08" w:rsidP="00887D08">
      <w:pPr>
        <w:pStyle w:val="Prrafodelista"/>
        <w:jc w:val="both"/>
        <w:rPr>
          <w:rFonts w:ascii="Humanst521 BT" w:hAnsi="Humanst521 BT"/>
          <w:b/>
          <w:bCs/>
        </w:rPr>
      </w:pPr>
    </w:p>
    <w:p w14:paraId="50AAA846" w14:textId="3F76FEEF" w:rsidR="00887D08" w:rsidRDefault="00887D08" w:rsidP="00BE3D8E">
      <w:pPr>
        <w:pStyle w:val="Prrafodelista"/>
        <w:numPr>
          <w:ilvl w:val="0"/>
          <w:numId w:val="1"/>
        </w:numPr>
        <w:jc w:val="both"/>
        <w:rPr>
          <w:rFonts w:ascii="Humanst521 BT" w:hAnsi="Humanst521 BT"/>
          <w:b/>
          <w:bCs/>
        </w:rPr>
      </w:pPr>
      <w:r>
        <w:rPr>
          <w:rFonts w:ascii="Humanst521 BT" w:hAnsi="Humanst521 BT"/>
          <w:b/>
          <w:bCs/>
        </w:rPr>
        <w:t>Aporte</w:t>
      </w:r>
    </w:p>
    <w:p w14:paraId="45D6F47E" w14:textId="7B538EB0" w:rsidR="008E0189" w:rsidRPr="008E0189" w:rsidRDefault="008E0189" w:rsidP="008E0189">
      <w:pPr>
        <w:pStyle w:val="Prrafodelista"/>
        <w:jc w:val="both"/>
        <w:rPr>
          <w:rFonts w:ascii="Humanst521 BT" w:hAnsi="Humanst521 BT"/>
        </w:rPr>
      </w:pPr>
      <w:r w:rsidRPr="008E0189">
        <w:rPr>
          <w:rFonts w:ascii="Humanst521 BT" w:hAnsi="Humanst521 BT"/>
        </w:rPr>
        <w:t>Enriquecimiento del estudio sobre la madurez digital al enfocarse en una industria menos investigada, ampliando el alcance de aplicación del modelo de madurez</w:t>
      </w:r>
    </w:p>
    <w:p w14:paraId="4EB5C3AA" w14:textId="77777777" w:rsidR="008E0189" w:rsidRPr="00AE1D95" w:rsidRDefault="008E0189" w:rsidP="008E0189">
      <w:pPr>
        <w:pStyle w:val="Prrafodelista"/>
        <w:jc w:val="both"/>
        <w:rPr>
          <w:rFonts w:ascii="Humanst521 BT" w:hAnsi="Humanst521 BT"/>
          <w:b/>
          <w:bCs/>
        </w:rPr>
      </w:pPr>
    </w:p>
    <w:p w14:paraId="5197DCC2" w14:textId="5118E8B7" w:rsidR="00CB5C3D" w:rsidRDefault="00CB5C3D" w:rsidP="00BE3D8E">
      <w:pPr>
        <w:pStyle w:val="Prrafodelista"/>
        <w:numPr>
          <w:ilvl w:val="0"/>
          <w:numId w:val="1"/>
        </w:numPr>
        <w:jc w:val="both"/>
        <w:rPr>
          <w:rFonts w:ascii="Humanst521 BT" w:hAnsi="Humanst521 BT"/>
          <w:b/>
          <w:bCs/>
        </w:rPr>
      </w:pPr>
      <w:r w:rsidRPr="00AE1D95">
        <w:rPr>
          <w:rFonts w:ascii="Humanst521 BT" w:hAnsi="Humanst521 BT"/>
          <w:b/>
          <w:bCs/>
        </w:rPr>
        <w:t>Implementación</w:t>
      </w:r>
    </w:p>
    <w:p w14:paraId="788E5702" w14:textId="067B9580" w:rsidR="00C90240" w:rsidRDefault="00D4357A" w:rsidP="00C90240">
      <w:pPr>
        <w:pStyle w:val="Prrafodelista"/>
        <w:jc w:val="both"/>
        <w:rPr>
          <w:rFonts w:ascii="Humanst521 BT" w:hAnsi="Humanst521 BT"/>
        </w:rPr>
      </w:pPr>
      <w:r>
        <w:rPr>
          <w:rFonts w:ascii="Humanst521 BT" w:hAnsi="Humanst521 BT"/>
        </w:rPr>
        <w:t>Viabilidad y aplicabilidad: p</w:t>
      </w:r>
      <w:r w:rsidR="005B6B14" w:rsidRPr="005B6B14">
        <w:rPr>
          <w:rFonts w:ascii="Humanst521 BT" w:hAnsi="Humanst521 BT"/>
        </w:rPr>
        <w:t>ara verificar la viabilidad y aplicabilidad del modelo, se lleva a cabo un estudio de caso de una empresa central de referencia en la industria ferroviaria de alta velocidad de China. Mediante la distribución de 300 cuestionarios para empleados y 7 cuestionarios para expertos técnicos a la empresa, se obtienen los datos relevantes y luego se calcula el valor del vector objetivo de acuerdo con el modelo capa por capa. Finalmente, según la escala de división del nivel de madurez, la empresa del caso se encuentra en el nivel pionero digital.</w:t>
      </w:r>
    </w:p>
    <w:p w14:paraId="6BDF9EF5" w14:textId="77777777" w:rsidR="001722A3" w:rsidRDefault="001722A3" w:rsidP="00C90240">
      <w:pPr>
        <w:pStyle w:val="Prrafodelista"/>
        <w:jc w:val="both"/>
        <w:rPr>
          <w:rFonts w:ascii="Humanst521 BT" w:hAnsi="Humanst521 BT"/>
          <w:b/>
          <w:bCs/>
        </w:rPr>
      </w:pPr>
    </w:p>
    <w:p w14:paraId="498C3468" w14:textId="0B0DC866" w:rsidR="00123FF6" w:rsidRPr="00123FF6" w:rsidRDefault="00123FF6" w:rsidP="00123FF6">
      <w:pPr>
        <w:pStyle w:val="Prrafodelista"/>
        <w:jc w:val="both"/>
        <w:rPr>
          <w:rFonts w:ascii="Humanst521 BT" w:hAnsi="Humanst521 BT"/>
        </w:rPr>
      </w:pPr>
      <w:r w:rsidRPr="00123FF6">
        <w:rPr>
          <w:rFonts w:ascii="Humanst521 BT" w:hAnsi="Humanst521 BT"/>
        </w:rPr>
        <w:t xml:space="preserve">1. Revisión de </w:t>
      </w:r>
      <w:r>
        <w:rPr>
          <w:rFonts w:ascii="Humanst521 BT" w:hAnsi="Humanst521 BT"/>
        </w:rPr>
        <w:t>l</w:t>
      </w:r>
      <w:r w:rsidRPr="00123FF6">
        <w:rPr>
          <w:rFonts w:ascii="Humanst521 BT" w:hAnsi="Humanst521 BT"/>
        </w:rPr>
        <w:t>iteratura</w:t>
      </w:r>
    </w:p>
    <w:p w14:paraId="22C3580B" w14:textId="2D089445" w:rsidR="00123FF6" w:rsidRPr="00123FF6" w:rsidRDefault="00123FF6" w:rsidP="00123FF6">
      <w:pPr>
        <w:pStyle w:val="Prrafodelista"/>
        <w:jc w:val="both"/>
        <w:rPr>
          <w:rFonts w:ascii="Humanst521 BT" w:hAnsi="Humanst521 BT"/>
        </w:rPr>
      </w:pPr>
      <w:r w:rsidRPr="00123FF6">
        <w:rPr>
          <w:rFonts w:ascii="Humanst521 BT" w:hAnsi="Humanst521 BT"/>
        </w:rPr>
        <w:t>Se realizó un análisis exhaustivo de la literatura existente sobre modelos de madurez digital y capacidades, con el fin de identificar principios, métodos y marcos relevantes que pudieran ser aplicados al contexto de las empresas de consulta de costos. Esta revisión ayudó a establecer una base teórica sólida para el desarrollo del DMM.</w:t>
      </w:r>
    </w:p>
    <w:p w14:paraId="3B1564CE" w14:textId="77777777" w:rsidR="00123FF6" w:rsidRPr="00123FF6" w:rsidRDefault="00123FF6" w:rsidP="00123FF6">
      <w:pPr>
        <w:pStyle w:val="Prrafodelista"/>
        <w:jc w:val="both"/>
        <w:rPr>
          <w:rFonts w:ascii="Humanst521 BT" w:hAnsi="Humanst521 BT"/>
        </w:rPr>
      </w:pPr>
    </w:p>
    <w:p w14:paraId="3EC8FF43" w14:textId="4EDF5ECC" w:rsidR="00123FF6" w:rsidRPr="00123FF6" w:rsidRDefault="00123FF6" w:rsidP="00123FF6">
      <w:pPr>
        <w:pStyle w:val="Prrafodelista"/>
        <w:jc w:val="both"/>
        <w:rPr>
          <w:rFonts w:ascii="Humanst521 BT" w:hAnsi="Humanst521 BT"/>
        </w:rPr>
      </w:pPr>
      <w:r w:rsidRPr="00123FF6">
        <w:rPr>
          <w:rFonts w:ascii="Humanst521 BT" w:hAnsi="Humanst521 BT"/>
        </w:rPr>
        <w:t xml:space="preserve">2. Entrevistas a </w:t>
      </w:r>
      <w:r w:rsidR="000C3A8B">
        <w:rPr>
          <w:rFonts w:ascii="Humanst521 BT" w:hAnsi="Humanst521 BT"/>
        </w:rPr>
        <w:t>e</w:t>
      </w:r>
      <w:r w:rsidRPr="00123FF6">
        <w:rPr>
          <w:rFonts w:ascii="Humanst521 BT" w:hAnsi="Humanst521 BT"/>
        </w:rPr>
        <w:t>xpertos</w:t>
      </w:r>
    </w:p>
    <w:p w14:paraId="3FF591AB" w14:textId="77777777" w:rsidR="00123FF6" w:rsidRPr="00123FF6" w:rsidRDefault="00123FF6" w:rsidP="00123FF6">
      <w:pPr>
        <w:pStyle w:val="Prrafodelista"/>
        <w:jc w:val="both"/>
        <w:rPr>
          <w:rFonts w:ascii="Humanst521 BT" w:hAnsi="Humanst521 BT"/>
        </w:rPr>
      </w:pPr>
      <w:r w:rsidRPr="00123FF6">
        <w:rPr>
          <w:rFonts w:ascii="Humanst521 BT" w:hAnsi="Humanst521 BT"/>
        </w:rPr>
        <w:t xml:space="preserve">Se llevaron a cabo entrevistas con altos directivos, gerentes comerciales y empleados del Instituto de Industria y Economía de China </w:t>
      </w:r>
      <w:proofErr w:type="spellStart"/>
      <w:r w:rsidRPr="00123FF6">
        <w:rPr>
          <w:rFonts w:ascii="Humanst521 BT" w:hAnsi="Humanst521 BT"/>
        </w:rPr>
        <w:t>Railway</w:t>
      </w:r>
      <w:proofErr w:type="spellEnd"/>
      <w:r w:rsidRPr="00123FF6">
        <w:rPr>
          <w:rFonts w:ascii="Humanst521 BT" w:hAnsi="Humanst521 BT"/>
        </w:rPr>
        <w:t xml:space="preserve"> </w:t>
      </w:r>
      <w:proofErr w:type="spellStart"/>
      <w:r w:rsidRPr="00123FF6">
        <w:rPr>
          <w:rFonts w:ascii="Humanst521 BT" w:hAnsi="Humanst521 BT"/>
        </w:rPr>
        <w:t>Siyuan</w:t>
      </w:r>
      <w:proofErr w:type="spellEnd"/>
      <w:r w:rsidRPr="00123FF6">
        <w:rPr>
          <w:rFonts w:ascii="Humanst521 BT" w:hAnsi="Humanst521 BT"/>
        </w:rPr>
        <w:t xml:space="preserve"> </w:t>
      </w:r>
      <w:proofErr w:type="spellStart"/>
      <w:r w:rsidRPr="00123FF6">
        <w:rPr>
          <w:rFonts w:ascii="Humanst521 BT" w:hAnsi="Humanst521 BT"/>
        </w:rPr>
        <w:t>Survey</w:t>
      </w:r>
      <w:proofErr w:type="spellEnd"/>
      <w:r w:rsidRPr="00123FF6">
        <w:rPr>
          <w:rFonts w:ascii="Humanst521 BT" w:hAnsi="Humanst521 BT"/>
        </w:rPr>
        <w:t xml:space="preserve"> and </w:t>
      </w:r>
      <w:proofErr w:type="spellStart"/>
      <w:r w:rsidRPr="00123FF6">
        <w:rPr>
          <w:rFonts w:ascii="Humanst521 BT" w:hAnsi="Humanst521 BT"/>
        </w:rPr>
        <w:t>Design</w:t>
      </w:r>
      <w:proofErr w:type="spellEnd"/>
      <w:r w:rsidRPr="00123FF6">
        <w:rPr>
          <w:rFonts w:ascii="Humanst521 BT" w:hAnsi="Humanst521 BT"/>
        </w:rPr>
        <w:t xml:space="preserve"> </w:t>
      </w:r>
      <w:proofErr w:type="spellStart"/>
      <w:r w:rsidRPr="00123FF6">
        <w:rPr>
          <w:rFonts w:ascii="Humanst521 BT" w:hAnsi="Humanst521 BT"/>
        </w:rPr>
        <w:t>Group</w:t>
      </w:r>
      <w:proofErr w:type="spellEnd"/>
      <w:r w:rsidRPr="00123FF6">
        <w:rPr>
          <w:rFonts w:ascii="Humanst521 BT" w:hAnsi="Humanst521 BT"/>
        </w:rPr>
        <w:t xml:space="preserve"> Co., Ltd. Estas entrevistas tenían como objetivo:</w:t>
      </w:r>
    </w:p>
    <w:p w14:paraId="4AE22F47" w14:textId="77777777" w:rsidR="00123FF6" w:rsidRPr="00123FF6" w:rsidRDefault="00123FF6" w:rsidP="00123FF6">
      <w:pPr>
        <w:pStyle w:val="Prrafodelista"/>
        <w:jc w:val="both"/>
        <w:rPr>
          <w:rFonts w:ascii="Humanst521 BT" w:hAnsi="Humanst521 BT"/>
        </w:rPr>
      </w:pPr>
    </w:p>
    <w:p w14:paraId="48FF731A" w14:textId="77777777" w:rsidR="000C3A8B" w:rsidRDefault="00123FF6" w:rsidP="000C3A8B">
      <w:pPr>
        <w:pStyle w:val="Prrafodelista"/>
        <w:numPr>
          <w:ilvl w:val="0"/>
          <w:numId w:val="2"/>
        </w:numPr>
        <w:jc w:val="both"/>
        <w:rPr>
          <w:rFonts w:ascii="Humanst521 BT" w:hAnsi="Humanst521 BT"/>
        </w:rPr>
      </w:pPr>
      <w:r w:rsidRPr="00123FF6">
        <w:rPr>
          <w:rFonts w:ascii="Humanst521 BT" w:hAnsi="Humanst521 BT"/>
        </w:rPr>
        <w:t>Comprender las percepciones de los expertos sobre la transformación digital.</w:t>
      </w:r>
    </w:p>
    <w:p w14:paraId="63CF7EDD" w14:textId="77777777" w:rsidR="000C3A8B" w:rsidRDefault="00123FF6" w:rsidP="000C3A8B">
      <w:pPr>
        <w:pStyle w:val="Prrafodelista"/>
        <w:numPr>
          <w:ilvl w:val="0"/>
          <w:numId w:val="2"/>
        </w:numPr>
        <w:jc w:val="both"/>
        <w:rPr>
          <w:rFonts w:ascii="Humanst521 BT" w:hAnsi="Humanst521 BT"/>
        </w:rPr>
      </w:pPr>
      <w:r w:rsidRPr="000C3A8B">
        <w:rPr>
          <w:rFonts w:ascii="Humanst521 BT" w:hAnsi="Humanst521 BT"/>
        </w:rPr>
        <w:t>Identificar los procesos clave y las dimensiones que deberían incluirse en el modelo de madurez.</w:t>
      </w:r>
    </w:p>
    <w:p w14:paraId="0DE0F4EA" w14:textId="20CE023D" w:rsidR="00123FF6" w:rsidRDefault="00123FF6" w:rsidP="000C3A8B">
      <w:pPr>
        <w:pStyle w:val="Prrafodelista"/>
        <w:numPr>
          <w:ilvl w:val="0"/>
          <w:numId w:val="2"/>
        </w:numPr>
        <w:jc w:val="both"/>
        <w:rPr>
          <w:rFonts w:ascii="Humanst521 BT" w:hAnsi="Humanst521 BT"/>
        </w:rPr>
      </w:pPr>
      <w:r w:rsidRPr="000C3A8B">
        <w:rPr>
          <w:rFonts w:ascii="Humanst521 BT" w:hAnsi="Humanst521 BT"/>
        </w:rPr>
        <w:t xml:space="preserve">Recoger sugerencias sobre el sistema de índices de </w:t>
      </w:r>
      <w:r w:rsidR="000C3A8B" w:rsidRPr="000C3A8B">
        <w:rPr>
          <w:rFonts w:ascii="Humanst521 BT" w:hAnsi="Humanst521 BT"/>
        </w:rPr>
        <w:t>evaluación.</w:t>
      </w:r>
    </w:p>
    <w:p w14:paraId="5E36DB47" w14:textId="77777777" w:rsidR="000C3A8B" w:rsidRPr="000C3A8B" w:rsidRDefault="000C3A8B" w:rsidP="000C3A8B">
      <w:pPr>
        <w:pStyle w:val="Prrafodelista"/>
        <w:ind w:left="1080"/>
        <w:jc w:val="both"/>
        <w:rPr>
          <w:rFonts w:ascii="Humanst521 BT" w:hAnsi="Humanst521 BT"/>
        </w:rPr>
      </w:pPr>
    </w:p>
    <w:p w14:paraId="0A20797F" w14:textId="4E7A27AB" w:rsidR="00123FF6" w:rsidRPr="00123FF6" w:rsidRDefault="00123FF6" w:rsidP="00123FF6">
      <w:pPr>
        <w:pStyle w:val="Prrafodelista"/>
        <w:jc w:val="both"/>
        <w:rPr>
          <w:rFonts w:ascii="Humanst521 BT" w:hAnsi="Humanst521 BT"/>
        </w:rPr>
      </w:pPr>
      <w:r w:rsidRPr="00123FF6">
        <w:rPr>
          <w:rFonts w:ascii="Humanst521 BT" w:hAnsi="Humanst521 BT"/>
        </w:rPr>
        <w:t xml:space="preserve">3. Desarrollo de </w:t>
      </w:r>
      <w:r w:rsidR="000C3A8B">
        <w:rPr>
          <w:rFonts w:ascii="Humanst521 BT" w:hAnsi="Humanst521 BT"/>
        </w:rPr>
        <w:t>í</w:t>
      </w:r>
      <w:r w:rsidRPr="00123FF6">
        <w:rPr>
          <w:rFonts w:ascii="Humanst521 BT" w:hAnsi="Humanst521 BT"/>
        </w:rPr>
        <w:t xml:space="preserve">ndices de </w:t>
      </w:r>
      <w:r w:rsidR="000C3A8B">
        <w:rPr>
          <w:rFonts w:ascii="Humanst521 BT" w:hAnsi="Humanst521 BT"/>
        </w:rPr>
        <w:t>e</w:t>
      </w:r>
      <w:r w:rsidRPr="00123FF6">
        <w:rPr>
          <w:rFonts w:ascii="Humanst521 BT" w:hAnsi="Humanst521 BT"/>
        </w:rPr>
        <w:t>valuación</w:t>
      </w:r>
    </w:p>
    <w:p w14:paraId="1AE1B15D" w14:textId="15003598" w:rsidR="00123FF6" w:rsidRPr="00123FF6" w:rsidRDefault="00123FF6" w:rsidP="00123FF6">
      <w:pPr>
        <w:pStyle w:val="Prrafodelista"/>
        <w:jc w:val="both"/>
        <w:rPr>
          <w:rFonts w:ascii="Humanst521 BT" w:hAnsi="Humanst521 BT"/>
        </w:rPr>
      </w:pPr>
      <w:r w:rsidRPr="00123FF6">
        <w:rPr>
          <w:rFonts w:ascii="Humanst521 BT" w:hAnsi="Humanst521 BT"/>
        </w:rPr>
        <w:t xml:space="preserve">Basándose en la información recopilada de la revisión de literatura y las entrevistas, se desarrollaron índices de evaluación preliminares. Estos índices fueron diseñados para reflejar las características específicas de la industria de consulta de costos y abarcar todo el ciclo de vida de los proyectos de gestión de costos, desde el establecimiento hasta la operación y </w:t>
      </w:r>
      <w:r w:rsidR="000C3A8B" w:rsidRPr="00123FF6">
        <w:rPr>
          <w:rFonts w:ascii="Humanst521 BT" w:hAnsi="Humanst521 BT"/>
        </w:rPr>
        <w:t>mantenimiento.</w:t>
      </w:r>
    </w:p>
    <w:p w14:paraId="5F5E076A" w14:textId="77777777" w:rsidR="00123FF6" w:rsidRPr="00123FF6" w:rsidRDefault="00123FF6" w:rsidP="00123FF6">
      <w:pPr>
        <w:pStyle w:val="Prrafodelista"/>
        <w:jc w:val="both"/>
        <w:rPr>
          <w:rFonts w:ascii="Humanst521 BT" w:hAnsi="Humanst521 BT"/>
        </w:rPr>
      </w:pPr>
    </w:p>
    <w:p w14:paraId="354F440D" w14:textId="4DD3DF96" w:rsidR="00123FF6" w:rsidRPr="00123FF6" w:rsidRDefault="00123FF6" w:rsidP="00123FF6">
      <w:pPr>
        <w:pStyle w:val="Prrafodelista"/>
        <w:jc w:val="both"/>
        <w:rPr>
          <w:rFonts w:ascii="Humanst521 BT" w:hAnsi="Humanst521 BT"/>
        </w:rPr>
      </w:pPr>
      <w:r w:rsidRPr="00123FF6">
        <w:rPr>
          <w:rFonts w:ascii="Humanst521 BT" w:hAnsi="Humanst521 BT"/>
        </w:rPr>
        <w:t xml:space="preserve">4. Construcción del </w:t>
      </w:r>
      <w:r w:rsidR="000C3A8B">
        <w:rPr>
          <w:rFonts w:ascii="Humanst521 BT" w:hAnsi="Humanst521 BT"/>
        </w:rPr>
        <w:t>m</w:t>
      </w:r>
      <w:r w:rsidRPr="00123FF6">
        <w:rPr>
          <w:rFonts w:ascii="Humanst521 BT" w:hAnsi="Humanst521 BT"/>
        </w:rPr>
        <w:t xml:space="preserve">odelo de </w:t>
      </w:r>
      <w:r w:rsidR="000C3A8B">
        <w:rPr>
          <w:rFonts w:ascii="Humanst521 BT" w:hAnsi="Humanst521 BT"/>
        </w:rPr>
        <w:t>m</w:t>
      </w:r>
      <w:r w:rsidRPr="00123FF6">
        <w:rPr>
          <w:rFonts w:ascii="Humanst521 BT" w:hAnsi="Humanst521 BT"/>
        </w:rPr>
        <w:t xml:space="preserve">adurez </w:t>
      </w:r>
      <w:r w:rsidR="000C3A8B">
        <w:rPr>
          <w:rFonts w:ascii="Humanst521 BT" w:hAnsi="Humanst521 BT"/>
        </w:rPr>
        <w:t>d</w:t>
      </w:r>
      <w:r w:rsidRPr="00123FF6">
        <w:rPr>
          <w:rFonts w:ascii="Humanst521 BT" w:hAnsi="Humanst521 BT"/>
        </w:rPr>
        <w:t>igital</w:t>
      </w:r>
    </w:p>
    <w:p w14:paraId="3CF278B2" w14:textId="77777777" w:rsidR="00123FF6" w:rsidRPr="00123FF6" w:rsidRDefault="00123FF6" w:rsidP="00123FF6">
      <w:pPr>
        <w:pStyle w:val="Prrafodelista"/>
        <w:jc w:val="both"/>
        <w:rPr>
          <w:rFonts w:ascii="Humanst521 BT" w:hAnsi="Humanst521 BT"/>
        </w:rPr>
      </w:pPr>
      <w:r w:rsidRPr="00123FF6">
        <w:rPr>
          <w:rFonts w:ascii="Humanst521 BT" w:hAnsi="Humanst521 BT"/>
        </w:rPr>
        <w:t>Con los índices de evaluación definidos, se procedió a construir el DMM. Este modelo incluye:</w:t>
      </w:r>
    </w:p>
    <w:p w14:paraId="3D0D1390" w14:textId="77777777" w:rsidR="00123FF6" w:rsidRPr="00123FF6" w:rsidRDefault="00123FF6" w:rsidP="00123FF6">
      <w:pPr>
        <w:pStyle w:val="Prrafodelista"/>
        <w:jc w:val="both"/>
        <w:rPr>
          <w:rFonts w:ascii="Humanst521 BT" w:hAnsi="Humanst521 BT"/>
        </w:rPr>
      </w:pPr>
    </w:p>
    <w:p w14:paraId="4252E9FD" w14:textId="77777777" w:rsidR="000C3A8B" w:rsidRDefault="00123FF6" w:rsidP="000C3A8B">
      <w:pPr>
        <w:pStyle w:val="Prrafodelista"/>
        <w:numPr>
          <w:ilvl w:val="0"/>
          <w:numId w:val="2"/>
        </w:numPr>
        <w:jc w:val="both"/>
        <w:rPr>
          <w:rFonts w:ascii="Humanst521 BT" w:hAnsi="Humanst521 BT"/>
        </w:rPr>
      </w:pPr>
      <w:r w:rsidRPr="00123FF6">
        <w:rPr>
          <w:rFonts w:ascii="Humanst521 BT" w:hAnsi="Humanst521 BT"/>
        </w:rPr>
        <w:t>Seis dimensiones clave que abarcan diferentes aspectos de la transformación digital.</w:t>
      </w:r>
    </w:p>
    <w:p w14:paraId="57BD591F" w14:textId="4DB1A79E" w:rsidR="00123FF6" w:rsidRDefault="00123FF6" w:rsidP="000C3A8B">
      <w:pPr>
        <w:pStyle w:val="Prrafodelista"/>
        <w:numPr>
          <w:ilvl w:val="0"/>
          <w:numId w:val="2"/>
        </w:numPr>
        <w:jc w:val="both"/>
        <w:rPr>
          <w:rFonts w:ascii="Humanst521 BT" w:hAnsi="Humanst521 BT"/>
        </w:rPr>
      </w:pPr>
      <w:r w:rsidRPr="000C3A8B">
        <w:rPr>
          <w:rFonts w:ascii="Humanst521 BT" w:hAnsi="Humanst521 BT"/>
        </w:rPr>
        <w:t>Índices de segundo y tercer nivel que permiten una evaluación más detallada y específica del nivel de madurez digital de la empresa</w:t>
      </w:r>
      <w:r w:rsidR="000C3A8B">
        <w:rPr>
          <w:rFonts w:ascii="Humanst521 BT" w:hAnsi="Humanst521 BT"/>
        </w:rPr>
        <w:t>.</w:t>
      </w:r>
    </w:p>
    <w:p w14:paraId="24012D49" w14:textId="77777777" w:rsidR="000C3A8B" w:rsidRPr="000C3A8B" w:rsidRDefault="000C3A8B" w:rsidP="000C3A8B">
      <w:pPr>
        <w:pStyle w:val="Prrafodelista"/>
        <w:ind w:left="1080"/>
        <w:jc w:val="both"/>
        <w:rPr>
          <w:rFonts w:ascii="Humanst521 BT" w:hAnsi="Humanst521 BT"/>
        </w:rPr>
      </w:pPr>
    </w:p>
    <w:p w14:paraId="1610DE85" w14:textId="2C0C49B5" w:rsidR="00123FF6" w:rsidRPr="00123FF6" w:rsidRDefault="00123FF6" w:rsidP="00123FF6">
      <w:pPr>
        <w:pStyle w:val="Prrafodelista"/>
        <w:jc w:val="both"/>
        <w:rPr>
          <w:rFonts w:ascii="Humanst521 BT" w:hAnsi="Humanst521 BT"/>
        </w:rPr>
      </w:pPr>
      <w:r w:rsidRPr="00123FF6">
        <w:rPr>
          <w:rFonts w:ascii="Humanst521 BT" w:hAnsi="Humanst521 BT"/>
        </w:rPr>
        <w:t xml:space="preserve">5. Validación del </w:t>
      </w:r>
      <w:r w:rsidR="000C3A8B">
        <w:rPr>
          <w:rFonts w:ascii="Humanst521 BT" w:hAnsi="Humanst521 BT"/>
        </w:rPr>
        <w:t>m</w:t>
      </w:r>
      <w:r w:rsidRPr="00123FF6">
        <w:rPr>
          <w:rFonts w:ascii="Humanst521 BT" w:hAnsi="Humanst521 BT"/>
        </w:rPr>
        <w:t>odelo</w:t>
      </w:r>
    </w:p>
    <w:p w14:paraId="20354925" w14:textId="01721536" w:rsidR="00123FF6" w:rsidRPr="00123FF6" w:rsidRDefault="00123FF6" w:rsidP="00123FF6">
      <w:pPr>
        <w:pStyle w:val="Prrafodelista"/>
        <w:jc w:val="both"/>
        <w:rPr>
          <w:rFonts w:ascii="Humanst521 BT" w:hAnsi="Humanst521 BT"/>
        </w:rPr>
      </w:pPr>
      <w:r w:rsidRPr="00123FF6">
        <w:rPr>
          <w:rFonts w:ascii="Humanst521 BT" w:hAnsi="Humanst521 BT"/>
        </w:rPr>
        <w:t xml:space="preserve">El modelo fue sometido a un proceso de validación, donde se evaluó su aplicabilidad y efectividad en el contexto real del Instituto de Industria y Economía. Esto incluyó la aplicación del modelo en la práctica y la recolección de datos sobre su rendimiento y efectividad en la mejora de la madurez digital de la </w:t>
      </w:r>
      <w:r w:rsidR="000C3A8B" w:rsidRPr="00123FF6">
        <w:rPr>
          <w:rFonts w:ascii="Humanst521 BT" w:hAnsi="Humanst521 BT"/>
        </w:rPr>
        <w:t>organización.</w:t>
      </w:r>
    </w:p>
    <w:p w14:paraId="3743C617" w14:textId="77777777" w:rsidR="00123FF6" w:rsidRPr="00123FF6" w:rsidRDefault="00123FF6" w:rsidP="00123FF6">
      <w:pPr>
        <w:pStyle w:val="Prrafodelista"/>
        <w:jc w:val="both"/>
        <w:rPr>
          <w:rFonts w:ascii="Humanst521 BT" w:hAnsi="Humanst521 BT"/>
        </w:rPr>
      </w:pPr>
    </w:p>
    <w:p w14:paraId="3E133C4B" w14:textId="0F749F27" w:rsidR="00123FF6" w:rsidRPr="00123FF6" w:rsidRDefault="00123FF6" w:rsidP="00123FF6">
      <w:pPr>
        <w:pStyle w:val="Prrafodelista"/>
        <w:jc w:val="both"/>
        <w:rPr>
          <w:rFonts w:ascii="Humanst521 BT" w:hAnsi="Humanst521 BT"/>
        </w:rPr>
      </w:pPr>
      <w:r w:rsidRPr="00123FF6">
        <w:rPr>
          <w:rFonts w:ascii="Humanst521 BT" w:hAnsi="Humanst521 BT"/>
        </w:rPr>
        <w:t xml:space="preserve">6. Ajustes y </w:t>
      </w:r>
      <w:r w:rsidR="000C3A8B">
        <w:rPr>
          <w:rFonts w:ascii="Humanst521 BT" w:hAnsi="Humanst521 BT"/>
        </w:rPr>
        <w:t>r</w:t>
      </w:r>
      <w:r w:rsidRPr="00123FF6">
        <w:rPr>
          <w:rFonts w:ascii="Humanst521 BT" w:hAnsi="Humanst521 BT"/>
        </w:rPr>
        <w:t>efinamiento</w:t>
      </w:r>
    </w:p>
    <w:p w14:paraId="779FE314" w14:textId="080A591A" w:rsidR="001722A3" w:rsidRPr="00123FF6" w:rsidRDefault="00123FF6" w:rsidP="00123FF6">
      <w:pPr>
        <w:pStyle w:val="Prrafodelista"/>
        <w:jc w:val="both"/>
        <w:rPr>
          <w:rFonts w:ascii="Humanst521 BT" w:hAnsi="Humanst521 BT"/>
        </w:rPr>
      </w:pPr>
      <w:r w:rsidRPr="00123FF6">
        <w:rPr>
          <w:rFonts w:ascii="Humanst521 BT" w:hAnsi="Humanst521 BT"/>
        </w:rPr>
        <w:t>A partir de la validación y la retroalimentación obtenida, se realizaron ajustes y refinamientos al modelo para asegurar que fuera lo más efectivo y relevante posible para las empresas de consulta de costos. Este proceso de mejora continua es fundamental para mantener la relevancia del DMM en un entorno empresarial en constante cambio</w:t>
      </w:r>
      <w:r w:rsidR="000C3A8B">
        <w:rPr>
          <w:rFonts w:ascii="Humanst521 BT" w:hAnsi="Humanst521 BT"/>
        </w:rPr>
        <w:t>.</w:t>
      </w:r>
    </w:p>
    <w:p w14:paraId="660A0757" w14:textId="77777777" w:rsidR="00123FF6" w:rsidRPr="00026B85" w:rsidRDefault="00123FF6" w:rsidP="00123FF6">
      <w:pPr>
        <w:pStyle w:val="Prrafodelista"/>
        <w:jc w:val="both"/>
        <w:rPr>
          <w:rFonts w:ascii="Humanst521 BT" w:hAnsi="Humanst521 BT"/>
          <w:b/>
          <w:bCs/>
        </w:rPr>
      </w:pPr>
    </w:p>
    <w:p w14:paraId="384390CB" w14:textId="22AFB95A" w:rsidR="00DB5D1E" w:rsidRDefault="00CB5C3D" w:rsidP="00DB5D1E">
      <w:pPr>
        <w:pStyle w:val="Prrafodelista"/>
        <w:numPr>
          <w:ilvl w:val="0"/>
          <w:numId w:val="1"/>
        </w:numPr>
        <w:jc w:val="both"/>
        <w:rPr>
          <w:rFonts w:ascii="Humanst521 BT" w:hAnsi="Humanst521 BT"/>
          <w:b/>
          <w:bCs/>
        </w:rPr>
      </w:pPr>
      <w:r w:rsidRPr="00AE1D95">
        <w:rPr>
          <w:rFonts w:ascii="Humanst521 BT" w:hAnsi="Humanst521 BT"/>
          <w:b/>
          <w:bCs/>
        </w:rPr>
        <w:t>Gráfico del modelo</w:t>
      </w:r>
    </w:p>
    <w:p w14:paraId="02BF45A5" w14:textId="5EBD2046" w:rsidR="00245B9F" w:rsidRPr="00245B9F" w:rsidRDefault="00245B9F" w:rsidP="00245B9F">
      <w:pPr>
        <w:pStyle w:val="Prrafodelista"/>
        <w:jc w:val="both"/>
        <w:rPr>
          <w:rFonts w:ascii="Humanst521 BT" w:hAnsi="Humanst521 BT"/>
        </w:rPr>
      </w:pPr>
      <w:r w:rsidRPr="00245B9F">
        <w:rPr>
          <w:rFonts w:ascii="Humanst521 BT" w:hAnsi="Humanst521 BT"/>
        </w:rPr>
        <w:t>N/A</w:t>
      </w:r>
    </w:p>
    <w:p w14:paraId="4447B4E6" w14:textId="77777777" w:rsidR="008E0189" w:rsidRPr="00DB5D1E" w:rsidRDefault="008E0189" w:rsidP="008E0189">
      <w:pPr>
        <w:pStyle w:val="Prrafodelista"/>
        <w:jc w:val="both"/>
        <w:rPr>
          <w:rFonts w:ascii="Humanst521 BT" w:hAnsi="Humanst521 BT"/>
          <w:b/>
          <w:bCs/>
        </w:rPr>
      </w:pPr>
    </w:p>
    <w:p w14:paraId="322C68B3" w14:textId="5EA145CF" w:rsidR="00CB5C3D" w:rsidRPr="00AE1D95" w:rsidRDefault="00CB5C3D" w:rsidP="00BE3D8E">
      <w:pPr>
        <w:pStyle w:val="Prrafodelista"/>
        <w:numPr>
          <w:ilvl w:val="0"/>
          <w:numId w:val="1"/>
        </w:numPr>
        <w:jc w:val="both"/>
        <w:rPr>
          <w:rFonts w:ascii="Humanst521 BT" w:hAnsi="Humanst521 BT"/>
          <w:b/>
          <w:bCs/>
        </w:rPr>
      </w:pPr>
      <w:r w:rsidRPr="00AE1D95">
        <w:rPr>
          <w:rFonts w:ascii="Humanst521 BT" w:hAnsi="Humanst521 BT"/>
          <w:b/>
          <w:bCs/>
        </w:rPr>
        <w:t>Interpretación de los resultados</w:t>
      </w:r>
    </w:p>
    <w:p w14:paraId="132D84FA" w14:textId="228C8A9A" w:rsidR="00B72DB0" w:rsidRPr="009134A6" w:rsidRDefault="009134A6" w:rsidP="00BE3D8E">
      <w:pPr>
        <w:pStyle w:val="Prrafodelista"/>
        <w:jc w:val="both"/>
        <w:rPr>
          <w:rFonts w:ascii="Humanst521 BT" w:hAnsi="Humanst521 BT"/>
        </w:rPr>
      </w:pPr>
      <w:r>
        <w:rPr>
          <w:rFonts w:ascii="Humanst521 BT" w:hAnsi="Humanst521 BT"/>
        </w:rPr>
        <w:t>La</w:t>
      </w:r>
      <w:r w:rsidR="00101D74">
        <w:rPr>
          <w:rFonts w:ascii="Humanst521 BT" w:hAnsi="Humanst521 BT"/>
        </w:rPr>
        <w:t xml:space="preserve"> madurez</w:t>
      </w:r>
      <w:r w:rsidR="008643C7">
        <w:rPr>
          <w:rFonts w:ascii="Humanst521 BT" w:hAnsi="Humanst521 BT"/>
        </w:rPr>
        <w:t xml:space="preserve"> dig</w:t>
      </w:r>
      <w:r w:rsidR="00B72CAC">
        <w:rPr>
          <w:rFonts w:ascii="Humanst521 BT" w:hAnsi="Humanst521 BT"/>
        </w:rPr>
        <w:t xml:space="preserve">ital </w:t>
      </w:r>
      <w:r w:rsidR="00C076E6">
        <w:rPr>
          <w:rFonts w:ascii="Humanst521 BT" w:hAnsi="Humanst521 BT"/>
        </w:rPr>
        <w:t>se di</w:t>
      </w:r>
      <w:r w:rsidR="00A96FAB">
        <w:rPr>
          <w:rFonts w:ascii="Humanst521 BT" w:hAnsi="Humanst521 BT"/>
        </w:rPr>
        <w:t>vide en</w:t>
      </w:r>
      <w:r w:rsidR="0022491E">
        <w:rPr>
          <w:rFonts w:ascii="Humanst521 BT" w:hAnsi="Humanst521 BT"/>
        </w:rPr>
        <w:t xml:space="preserve"> 5 ni</w:t>
      </w:r>
      <w:r w:rsidR="004C5BA8">
        <w:rPr>
          <w:rFonts w:ascii="Humanst521 BT" w:hAnsi="Humanst521 BT"/>
        </w:rPr>
        <w:t>vele</w:t>
      </w:r>
      <w:r w:rsidR="00681E7E">
        <w:rPr>
          <w:rFonts w:ascii="Humanst521 BT" w:hAnsi="Humanst521 BT"/>
        </w:rPr>
        <w:t>s</w:t>
      </w:r>
      <w:r w:rsidR="00FD2841">
        <w:rPr>
          <w:rFonts w:ascii="Humanst521 BT" w:hAnsi="Humanst521 BT"/>
        </w:rPr>
        <w:t>, s</w:t>
      </w:r>
      <w:r w:rsidR="00F25958">
        <w:rPr>
          <w:rFonts w:ascii="Humanst521 BT" w:hAnsi="Humanst521 BT"/>
        </w:rPr>
        <w:t>e eva</w:t>
      </w:r>
      <w:r w:rsidR="00B30803">
        <w:rPr>
          <w:rFonts w:ascii="Humanst521 BT" w:hAnsi="Humanst521 BT"/>
        </w:rPr>
        <w:t>lúa me</w:t>
      </w:r>
      <w:r w:rsidR="00DA6396">
        <w:rPr>
          <w:rFonts w:ascii="Humanst521 BT" w:hAnsi="Humanst521 BT"/>
        </w:rPr>
        <w:t>diant</w:t>
      </w:r>
      <w:r w:rsidR="00741DAD">
        <w:rPr>
          <w:rFonts w:ascii="Humanst521 BT" w:hAnsi="Humanst521 BT"/>
        </w:rPr>
        <w:t xml:space="preserve">e </w:t>
      </w:r>
      <w:r w:rsidR="00722771">
        <w:rPr>
          <w:rFonts w:ascii="Humanst521 BT" w:hAnsi="Humanst521 BT"/>
        </w:rPr>
        <w:t xml:space="preserve">el </w:t>
      </w:r>
      <w:r w:rsidR="009D38BF">
        <w:rPr>
          <w:rFonts w:ascii="Humanst521 BT" w:hAnsi="Humanst521 BT"/>
        </w:rPr>
        <w:t>AHP</w:t>
      </w:r>
      <w:r w:rsidR="009807A2">
        <w:rPr>
          <w:rFonts w:ascii="Humanst521 BT" w:hAnsi="Humanst521 BT"/>
        </w:rPr>
        <w:t xml:space="preserve"> y </w:t>
      </w:r>
      <w:r w:rsidR="00AE4DE5">
        <w:rPr>
          <w:rFonts w:ascii="Humanst521 BT" w:hAnsi="Humanst521 BT"/>
        </w:rPr>
        <w:t>la ev</w:t>
      </w:r>
      <w:r w:rsidR="00F25650">
        <w:rPr>
          <w:rFonts w:ascii="Humanst521 BT" w:hAnsi="Humanst521 BT"/>
        </w:rPr>
        <w:t>al</w:t>
      </w:r>
      <w:r w:rsidR="00657FA7">
        <w:rPr>
          <w:rFonts w:ascii="Humanst521 BT" w:hAnsi="Humanst521 BT"/>
        </w:rPr>
        <w:t>uaci</w:t>
      </w:r>
      <w:r w:rsidR="002B740E">
        <w:rPr>
          <w:rFonts w:ascii="Humanst521 BT" w:hAnsi="Humanst521 BT"/>
        </w:rPr>
        <w:t xml:space="preserve">ón </w:t>
      </w:r>
      <w:r w:rsidR="00B54936">
        <w:rPr>
          <w:rFonts w:ascii="Humanst521 BT" w:hAnsi="Humanst521 BT"/>
        </w:rPr>
        <w:t>in</w:t>
      </w:r>
      <w:r w:rsidR="00982E9E">
        <w:rPr>
          <w:rFonts w:ascii="Humanst521 BT" w:hAnsi="Humanst521 BT"/>
        </w:rPr>
        <w:t xml:space="preserve">tegral </w:t>
      </w:r>
      <w:r w:rsidR="007E4840">
        <w:rPr>
          <w:rFonts w:ascii="Humanst521 BT" w:hAnsi="Humanst521 BT"/>
        </w:rPr>
        <w:t>dif</w:t>
      </w:r>
      <w:r w:rsidR="00C967E1">
        <w:rPr>
          <w:rFonts w:ascii="Humanst521 BT" w:hAnsi="Humanst521 BT"/>
        </w:rPr>
        <w:t>usa</w:t>
      </w:r>
      <w:r w:rsidR="00D0343C">
        <w:rPr>
          <w:rFonts w:ascii="Humanst521 BT" w:hAnsi="Humanst521 BT"/>
        </w:rPr>
        <w:t>.</w:t>
      </w:r>
    </w:p>
    <w:p w14:paraId="6DF454E2" w14:textId="16097DAD" w:rsidR="00AD2136" w:rsidRDefault="00DB5D1E" w:rsidP="00BE3D8E">
      <w:pPr>
        <w:pStyle w:val="Prrafodelista"/>
        <w:jc w:val="both"/>
        <w:rPr>
          <w:rFonts w:ascii="Humanst521 BT" w:hAnsi="Humanst521 BT"/>
        </w:rPr>
      </w:pPr>
      <w:r w:rsidRPr="00DB5D1E">
        <w:rPr>
          <w:rFonts w:ascii="Humanst521 BT" w:hAnsi="Humanst521 BT"/>
          <w:noProof/>
        </w:rPr>
        <w:drawing>
          <wp:inline distT="0" distB="0" distL="0" distR="0" wp14:anchorId="05270AD3" wp14:editId="2A6423D7">
            <wp:extent cx="5612130" cy="1949450"/>
            <wp:effectExtent l="0" t="0" r="7620" b="0"/>
            <wp:docPr id="12590863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086398" name=""/>
                    <pic:cNvPicPr/>
                  </pic:nvPicPr>
                  <pic:blipFill>
                    <a:blip r:embed="rId5"/>
                    <a:stretch>
                      <a:fillRect/>
                    </a:stretch>
                  </pic:blipFill>
                  <pic:spPr>
                    <a:xfrm>
                      <a:off x="0" y="0"/>
                      <a:ext cx="5612130" cy="1949450"/>
                    </a:xfrm>
                    <a:prstGeom prst="rect">
                      <a:avLst/>
                    </a:prstGeom>
                  </pic:spPr>
                </pic:pic>
              </a:graphicData>
            </a:graphic>
          </wp:inline>
        </w:drawing>
      </w:r>
    </w:p>
    <w:p w14:paraId="71AE03C7" w14:textId="77777777" w:rsidR="00D40F4C" w:rsidRDefault="00D40F4C" w:rsidP="00D40F4C">
      <w:pPr>
        <w:pStyle w:val="Prrafodelista"/>
        <w:numPr>
          <w:ilvl w:val="0"/>
          <w:numId w:val="1"/>
        </w:numPr>
        <w:jc w:val="both"/>
        <w:rPr>
          <w:rFonts w:ascii="Humanst521 BT" w:hAnsi="Humanst521 BT"/>
          <w:b/>
          <w:bCs/>
          <w:lang w:val="es-ES"/>
        </w:rPr>
      </w:pPr>
      <w:r w:rsidRPr="00D40F4C">
        <w:rPr>
          <w:rFonts w:ascii="Humanst521 BT" w:hAnsi="Humanst521 BT"/>
          <w:b/>
          <w:bCs/>
          <w:lang w:val="es-ES"/>
        </w:rPr>
        <w:t>Forma de recolección de la información</w:t>
      </w:r>
    </w:p>
    <w:p w14:paraId="0709A1A4" w14:textId="7898C91B" w:rsidR="00D21DBA" w:rsidRPr="00D21DBA" w:rsidRDefault="00D21DBA" w:rsidP="00D21DBA">
      <w:pPr>
        <w:pStyle w:val="Prrafodelista"/>
        <w:jc w:val="both"/>
        <w:rPr>
          <w:rFonts w:ascii="Humanst521 BT" w:hAnsi="Humanst521 BT"/>
          <w:u w:val="single"/>
          <w:lang w:val="es-ES"/>
        </w:rPr>
      </w:pPr>
      <w:r w:rsidRPr="00D21DBA">
        <w:rPr>
          <w:rFonts w:ascii="Humanst521 BT" w:hAnsi="Humanst521 BT"/>
          <w:u w:val="single"/>
          <w:lang w:val="es-ES"/>
        </w:rPr>
        <w:t xml:space="preserve">Métodos </w:t>
      </w:r>
      <w:r>
        <w:rPr>
          <w:rFonts w:ascii="Humanst521 BT" w:hAnsi="Humanst521 BT"/>
          <w:u w:val="single"/>
          <w:lang w:val="es-ES"/>
        </w:rPr>
        <w:t>c</w:t>
      </w:r>
      <w:r w:rsidRPr="00D21DBA">
        <w:rPr>
          <w:rFonts w:ascii="Humanst521 BT" w:hAnsi="Humanst521 BT"/>
          <w:u w:val="single"/>
          <w:lang w:val="es-ES"/>
        </w:rPr>
        <w:t>ualitativos</w:t>
      </w:r>
    </w:p>
    <w:p w14:paraId="178AC0C3" w14:textId="2D1D5559" w:rsidR="00D21DBA" w:rsidRPr="00D21DBA" w:rsidRDefault="00D21DBA" w:rsidP="00D21DBA">
      <w:pPr>
        <w:pStyle w:val="Prrafodelista"/>
        <w:numPr>
          <w:ilvl w:val="0"/>
          <w:numId w:val="2"/>
        </w:numPr>
        <w:jc w:val="both"/>
        <w:rPr>
          <w:rFonts w:ascii="Humanst521 BT" w:hAnsi="Humanst521 BT"/>
          <w:lang w:val="es-ES"/>
        </w:rPr>
      </w:pPr>
      <w:r w:rsidRPr="00D21DBA">
        <w:rPr>
          <w:rFonts w:ascii="Humanst521 BT" w:hAnsi="Humanst521 BT"/>
          <w:lang w:val="es-ES"/>
        </w:rPr>
        <w:t xml:space="preserve">Entrevistas a </w:t>
      </w:r>
      <w:r>
        <w:rPr>
          <w:rFonts w:ascii="Humanst521 BT" w:hAnsi="Humanst521 BT"/>
          <w:lang w:val="es-ES"/>
        </w:rPr>
        <w:t>e</w:t>
      </w:r>
      <w:r w:rsidRPr="00D21DBA">
        <w:rPr>
          <w:rFonts w:ascii="Humanst521 BT" w:hAnsi="Humanst521 BT"/>
          <w:lang w:val="es-ES"/>
        </w:rPr>
        <w:t xml:space="preserve">xpertos: Se llevaron a cabo entrevistas con altos directivos y empleados del Instituto de Industria y Economía de China </w:t>
      </w:r>
      <w:proofErr w:type="spellStart"/>
      <w:r w:rsidRPr="00D21DBA">
        <w:rPr>
          <w:rFonts w:ascii="Humanst521 BT" w:hAnsi="Humanst521 BT"/>
          <w:lang w:val="es-ES"/>
        </w:rPr>
        <w:t>Railway</w:t>
      </w:r>
      <w:proofErr w:type="spellEnd"/>
      <w:r w:rsidRPr="00D21DBA">
        <w:rPr>
          <w:rFonts w:ascii="Humanst521 BT" w:hAnsi="Humanst521 BT"/>
          <w:lang w:val="es-ES"/>
        </w:rPr>
        <w:t xml:space="preserve"> </w:t>
      </w:r>
      <w:proofErr w:type="spellStart"/>
      <w:r w:rsidRPr="00D21DBA">
        <w:rPr>
          <w:rFonts w:ascii="Humanst521 BT" w:hAnsi="Humanst521 BT"/>
          <w:lang w:val="es-ES"/>
        </w:rPr>
        <w:t>Siyuan</w:t>
      </w:r>
      <w:proofErr w:type="spellEnd"/>
      <w:r w:rsidRPr="00D21DBA">
        <w:rPr>
          <w:rFonts w:ascii="Humanst521 BT" w:hAnsi="Humanst521 BT"/>
          <w:lang w:val="es-ES"/>
        </w:rPr>
        <w:t xml:space="preserve"> </w:t>
      </w:r>
      <w:proofErr w:type="spellStart"/>
      <w:r w:rsidRPr="00D21DBA">
        <w:rPr>
          <w:rFonts w:ascii="Humanst521 BT" w:hAnsi="Humanst521 BT"/>
          <w:lang w:val="es-ES"/>
        </w:rPr>
        <w:t>Survey</w:t>
      </w:r>
      <w:proofErr w:type="spellEnd"/>
      <w:r w:rsidRPr="00D21DBA">
        <w:rPr>
          <w:rFonts w:ascii="Humanst521 BT" w:hAnsi="Humanst521 BT"/>
          <w:lang w:val="es-ES"/>
        </w:rPr>
        <w:t xml:space="preserve"> and </w:t>
      </w:r>
      <w:proofErr w:type="spellStart"/>
      <w:r w:rsidRPr="00D21DBA">
        <w:rPr>
          <w:rFonts w:ascii="Humanst521 BT" w:hAnsi="Humanst521 BT"/>
          <w:lang w:val="es-ES"/>
        </w:rPr>
        <w:t>Design</w:t>
      </w:r>
      <w:proofErr w:type="spellEnd"/>
      <w:r w:rsidRPr="00D21DBA">
        <w:rPr>
          <w:rFonts w:ascii="Humanst521 BT" w:hAnsi="Humanst521 BT"/>
          <w:lang w:val="es-ES"/>
        </w:rPr>
        <w:t xml:space="preserve"> </w:t>
      </w:r>
      <w:proofErr w:type="spellStart"/>
      <w:r w:rsidRPr="00D21DBA">
        <w:rPr>
          <w:rFonts w:ascii="Humanst521 BT" w:hAnsi="Humanst521 BT"/>
          <w:lang w:val="es-ES"/>
        </w:rPr>
        <w:t>Group</w:t>
      </w:r>
      <w:proofErr w:type="spellEnd"/>
      <w:r w:rsidRPr="00D21DBA">
        <w:rPr>
          <w:rFonts w:ascii="Humanst521 BT" w:hAnsi="Humanst521 BT"/>
          <w:lang w:val="es-ES"/>
        </w:rPr>
        <w:t xml:space="preserve"> Co., Ltd. Estas entrevistas permitieron obtener información detallada sobre las percepciones de los expertos respecto a la transformación digital, así como sobre los procesos clave y los desafíos que enfrentan en la implementación del DMM.</w:t>
      </w:r>
    </w:p>
    <w:p w14:paraId="2C37F46D" w14:textId="77777777" w:rsidR="00D21DBA" w:rsidRPr="00D21DBA" w:rsidRDefault="00D21DBA" w:rsidP="00D21DBA">
      <w:pPr>
        <w:pStyle w:val="Prrafodelista"/>
        <w:jc w:val="both"/>
        <w:rPr>
          <w:rFonts w:ascii="Humanst521 BT" w:hAnsi="Humanst521 BT"/>
          <w:lang w:val="es-ES"/>
        </w:rPr>
      </w:pPr>
    </w:p>
    <w:p w14:paraId="51EF3676" w14:textId="77777777" w:rsidR="00D21DBA" w:rsidRDefault="00D21DBA" w:rsidP="00D21DBA">
      <w:pPr>
        <w:pStyle w:val="Prrafodelista"/>
        <w:jc w:val="both"/>
        <w:rPr>
          <w:rFonts w:ascii="Humanst521 BT" w:hAnsi="Humanst521 BT"/>
          <w:u w:val="single"/>
          <w:lang w:val="es-ES"/>
        </w:rPr>
      </w:pPr>
    </w:p>
    <w:p w14:paraId="35613379" w14:textId="77777777" w:rsidR="00D21DBA" w:rsidRDefault="00D21DBA" w:rsidP="00D21DBA">
      <w:pPr>
        <w:pStyle w:val="Prrafodelista"/>
        <w:jc w:val="both"/>
        <w:rPr>
          <w:rFonts w:ascii="Humanst521 BT" w:hAnsi="Humanst521 BT"/>
          <w:u w:val="single"/>
          <w:lang w:val="es-ES"/>
        </w:rPr>
      </w:pPr>
    </w:p>
    <w:p w14:paraId="4111A473" w14:textId="61091B17" w:rsidR="00D21DBA" w:rsidRPr="00D21DBA" w:rsidRDefault="00D21DBA" w:rsidP="00D21DBA">
      <w:pPr>
        <w:pStyle w:val="Prrafodelista"/>
        <w:jc w:val="both"/>
        <w:rPr>
          <w:rFonts w:ascii="Humanst521 BT" w:hAnsi="Humanst521 BT"/>
          <w:u w:val="single"/>
          <w:lang w:val="es-ES"/>
        </w:rPr>
      </w:pPr>
      <w:r w:rsidRPr="00D21DBA">
        <w:rPr>
          <w:rFonts w:ascii="Humanst521 BT" w:hAnsi="Humanst521 BT"/>
          <w:u w:val="single"/>
          <w:lang w:val="es-ES"/>
        </w:rPr>
        <w:t xml:space="preserve">Métodos </w:t>
      </w:r>
      <w:r>
        <w:rPr>
          <w:rFonts w:ascii="Humanst521 BT" w:hAnsi="Humanst521 BT"/>
          <w:u w:val="single"/>
          <w:lang w:val="es-ES"/>
        </w:rPr>
        <w:t>c</w:t>
      </w:r>
      <w:r w:rsidRPr="00D21DBA">
        <w:rPr>
          <w:rFonts w:ascii="Humanst521 BT" w:hAnsi="Humanst521 BT"/>
          <w:u w:val="single"/>
          <w:lang w:val="es-ES"/>
        </w:rPr>
        <w:t>uantitativos</w:t>
      </w:r>
    </w:p>
    <w:p w14:paraId="5CDE9EAD" w14:textId="0AF0D261" w:rsidR="00D21DBA" w:rsidRPr="00D21DBA" w:rsidRDefault="00D21DBA" w:rsidP="00D21DBA">
      <w:pPr>
        <w:pStyle w:val="Prrafodelista"/>
        <w:numPr>
          <w:ilvl w:val="0"/>
          <w:numId w:val="2"/>
        </w:numPr>
        <w:jc w:val="both"/>
        <w:rPr>
          <w:rFonts w:ascii="Humanst521 BT" w:hAnsi="Humanst521 BT"/>
          <w:lang w:val="es-ES"/>
        </w:rPr>
      </w:pPr>
      <w:r w:rsidRPr="00D21DBA">
        <w:rPr>
          <w:rFonts w:ascii="Humanst521 BT" w:hAnsi="Humanst521 BT"/>
          <w:lang w:val="es-ES"/>
        </w:rPr>
        <w:t>Cuestionarios: Se utilizaron cuestionarios para recopilar datos cuantitativos sobre el nivel de madurez digital de la empresa. Estos cuestionarios permitieron evaluar diferentes dimensiones del DMM de manera estructurada y objetiva, facilitando la medición del desempeño en cada área.</w:t>
      </w:r>
    </w:p>
    <w:p w14:paraId="6A652485" w14:textId="7697D646" w:rsidR="00D21DBA" w:rsidRPr="00D21DBA" w:rsidRDefault="00D21DBA" w:rsidP="00D21DBA">
      <w:pPr>
        <w:pStyle w:val="Prrafodelista"/>
        <w:numPr>
          <w:ilvl w:val="0"/>
          <w:numId w:val="2"/>
        </w:numPr>
        <w:jc w:val="both"/>
        <w:rPr>
          <w:rFonts w:ascii="Humanst521 BT" w:hAnsi="Humanst521 BT"/>
          <w:lang w:val="es-ES"/>
        </w:rPr>
      </w:pPr>
      <w:r w:rsidRPr="00D21DBA">
        <w:rPr>
          <w:rFonts w:ascii="Humanst521 BT" w:hAnsi="Humanst521 BT"/>
          <w:lang w:val="es-ES"/>
        </w:rPr>
        <w:t xml:space="preserve">Evaluación de </w:t>
      </w:r>
      <w:r>
        <w:rPr>
          <w:rFonts w:ascii="Humanst521 BT" w:hAnsi="Humanst521 BT"/>
          <w:lang w:val="es-ES"/>
        </w:rPr>
        <w:t>í</w:t>
      </w:r>
      <w:r w:rsidRPr="00D21DBA">
        <w:rPr>
          <w:rFonts w:ascii="Humanst521 BT" w:hAnsi="Humanst521 BT"/>
          <w:lang w:val="es-ES"/>
        </w:rPr>
        <w:t>ndices: La implementación incluyó la evaluación de índices cuantitativos que reflejan el nivel de madurez digital. Esto se realizó mediante métodos como el Análisis Jerárquico de Proceso (AHP) y la evaluación integral difusa, que proporcionan un marco para calcular y comparar el nivel de madurez digital de la empresa</w:t>
      </w:r>
    </w:p>
    <w:p w14:paraId="600E9FA3" w14:textId="77777777" w:rsidR="00226D23" w:rsidRPr="00D40F4C" w:rsidRDefault="00226D23" w:rsidP="00226D23">
      <w:pPr>
        <w:pStyle w:val="Prrafodelista"/>
        <w:jc w:val="both"/>
        <w:rPr>
          <w:rFonts w:ascii="Humanst521 BT" w:hAnsi="Humanst521 BT"/>
          <w:b/>
          <w:bCs/>
          <w:lang w:val="es-ES"/>
        </w:rPr>
      </w:pPr>
    </w:p>
    <w:p w14:paraId="69BDD24B" w14:textId="2DA26456" w:rsidR="00226D23" w:rsidRPr="00226D23" w:rsidRDefault="00226D23" w:rsidP="00226D23">
      <w:pPr>
        <w:pStyle w:val="Prrafodelista"/>
        <w:numPr>
          <w:ilvl w:val="0"/>
          <w:numId w:val="1"/>
        </w:numPr>
        <w:jc w:val="both"/>
        <w:rPr>
          <w:rFonts w:ascii="Humanst521 BT" w:hAnsi="Humanst521 BT"/>
          <w:b/>
          <w:bCs/>
          <w:lang w:val="es-ES"/>
        </w:rPr>
      </w:pPr>
      <w:r w:rsidRPr="00226D23">
        <w:rPr>
          <w:rFonts w:ascii="Humanst521 BT" w:hAnsi="Humanst521 BT"/>
          <w:b/>
          <w:bCs/>
          <w:lang w:val="es-ES"/>
        </w:rPr>
        <w:t>Alcance de la evaluación del modelo en el artículo</w:t>
      </w:r>
    </w:p>
    <w:p w14:paraId="5A04159B" w14:textId="77777777" w:rsidR="00226D23" w:rsidRPr="00226D23" w:rsidRDefault="00226D23" w:rsidP="00226D23">
      <w:pPr>
        <w:pStyle w:val="Prrafodelista"/>
        <w:jc w:val="both"/>
        <w:rPr>
          <w:rFonts w:ascii="Humanst521 BT" w:hAnsi="Humanst521 BT"/>
          <w:b/>
          <w:bCs/>
          <w:lang w:val="es-ES"/>
        </w:rPr>
      </w:pPr>
    </w:p>
    <w:p w14:paraId="6D68E5FD" w14:textId="77777777" w:rsidR="00226D23" w:rsidRPr="00226D23" w:rsidRDefault="00226D23" w:rsidP="00226D23">
      <w:pPr>
        <w:pStyle w:val="Prrafodelista"/>
        <w:jc w:val="both"/>
        <w:rPr>
          <w:rFonts w:ascii="Humanst521 BT" w:hAnsi="Humanst521 BT"/>
          <w:lang w:val="es-ES"/>
        </w:rPr>
      </w:pPr>
      <w:r w:rsidRPr="00226D23">
        <w:rPr>
          <w:rFonts w:ascii="Humanst521 BT" w:hAnsi="Humanst521 BT"/>
          <w:lang w:val="es-ES"/>
        </w:rPr>
        <w:t>Modelo</w:t>
      </w:r>
    </w:p>
    <w:p w14:paraId="6C4C0B73" w14:textId="63CE6AA5" w:rsidR="00226D23" w:rsidRPr="00226D23" w:rsidRDefault="00226D23" w:rsidP="00226D23">
      <w:pPr>
        <w:pStyle w:val="Prrafodelista"/>
        <w:jc w:val="both"/>
        <w:rPr>
          <w:rFonts w:ascii="Humanst521 BT" w:hAnsi="Humanst521 BT"/>
          <w:lang w:val="es-ES"/>
        </w:rPr>
      </w:pPr>
      <w:r w:rsidRPr="00226D23">
        <w:rPr>
          <w:rFonts w:ascii="Humanst521 BT" w:hAnsi="Humanst521 BT"/>
          <w:lang w:val="es-ES"/>
        </w:rPr>
        <w:t>Modelo e implementación</w:t>
      </w:r>
    </w:p>
    <w:p w14:paraId="3C603463" w14:textId="77777777" w:rsidR="00226D23" w:rsidRPr="00226D23" w:rsidRDefault="00226D23" w:rsidP="00226D23">
      <w:pPr>
        <w:pStyle w:val="Prrafodelista"/>
        <w:jc w:val="both"/>
        <w:rPr>
          <w:rFonts w:ascii="Humanst521 BT" w:hAnsi="Humanst521 BT"/>
          <w:lang w:val="es-ES"/>
        </w:rPr>
      </w:pPr>
      <w:r w:rsidRPr="00226D23">
        <w:rPr>
          <w:rFonts w:ascii="Humanst521 BT" w:hAnsi="Humanst521 BT"/>
          <w:lang w:val="es-ES"/>
        </w:rPr>
        <w:t>Modelo, implementación y testeo (ponderación de factores)</w:t>
      </w:r>
    </w:p>
    <w:p w14:paraId="51C68C4F" w14:textId="25E6611C" w:rsidR="00226D23" w:rsidRPr="00226D23" w:rsidRDefault="00226D23" w:rsidP="00226D23">
      <w:pPr>
        <w:pStyle w:val="Prrafodelista"/>
        <w:jc w:val="both"/>
        <w:rPr>
          <w:rFonts w:ascii="Humanst521 BT" w:hAnsi="Humanst521 BT"/>
          <w:lang w:val="es-ES"/>
        </w:rPr>
      </w:pPr>
      <w:r w:rsidRPr="00226D23">
        <w:rPr>
          <w:rFonts w:ascii="Humanst521 BT" w:hAnsi="Humanst521 BT"/>
          <w:lang w:val="es-ES"/>
        </w:rPr>
        <w:t>Modelo, implementación, testeo y evaluación</w:t>
      </w:r>
      <w:r w:rsidR="000C3A8B">
        <w:rPr>
          <w:rFonts w:ascii="Humanst521 BT" w:hAnsi="Humanst521 BT"/>
          <w:lang w:val="es-ES"/>
        </w:rPr>
        <w:t>: X</w:t>
      </w:r>
    </w:p>
    <w:p w14:paraId="03CFF621" w14:textId="3D01F1AE" w:rsidR="00CB5C3D" w:rsidRPr="00AE1D95" w:rsidRDefault="00CB5C3D" w:rsidP="00226D23">
      <w:pPr>
        <w:pStyle w:val="Prrafodelista"/>
        <w:jc w:val="both"/>
        <w:rPr>
          <w:rFonts w:ascii="Humanst521 BT" w:hAnsi="Humanst521 BT"/>
          <w:b/>
          <w:bCs/>
        </w:rPr>
      </w:pPr>
    </w:p>
    <w:p w14:paraId="63D0E9CF" w14:textId="77777777" w:rsidR="00AD39A6" w:rsidRDefault="00AD39A6" w:rsidP="00BE3D8E">
      <w:pPr>
        <w:pStyle w:val="Prrafodelista"/>
        <w:jc w:val="both"/>
        <w:rPr>
          <w:rFonts w:ascii="Humanst521 BT" w:hAnsi="Humanst521 BT"/>
        </w:rPr>
      </w:pPr>
    </w:p>
    <w:p w14:paraId="04A43C23" w14:textId="77777777" w:rsidR="00A5246F" w:rsidRDefault="00A5246F" w:rsidP="00BE3D8E">
      <w:pPr>
        <w:pStyle w:val="Prrafodelista"/>
        <w:jc w:val="both"/>
        <w:rPr>
          <w:rFonts w:ascii="Humanst521 BT" w:hAnsi="Humanst521 BT"/>
        </w:rPr>
      </w:pPr>
    </w:p>
    <w:p w14:paraId="43D56EB2" w14:textId="77777777" w:rsidR="00A5246F" w:rsidRDefault="00A5246F" w:rsidP="00BE3D8E">
      <w:pPr>
        <w:pStyle w:val="Prrafodelista"/>
        <w:jc w:val="both"/>
        <w:rPr>
          <w:rFonts w:ascii="Humanst521 BT" w:hAnsi="Humanst521 BT"/>
        </w:rPr>
      </w:pPr>
    </w:p>
    <w:p w14:paraId="3F231BC6" w14:textId="77777777" w:rsidR="00A5246F" w:rsidRDefault="00A5246F" w:rsidP="00BE3D8E">
      <w:pPr>
        <w:pStyle w:val="Prrafodelista"/>
        <w:jc w:val="both"/>
        <w:rPr>
          <w:rFonts w:ascii="Humanst521 BT" w:hAnsi="Humanst521 BT"/>
        </w:rPr>
      </w:pPr>
    </w:p>
    <w:p w14:paraId="6C58558C" w14:textId="77777777" w:rsidR="00A5246F" w:rsidRDefault="00A5246F" w:rsidP="00BE3D8E">
      <w:pPr>
        <w:pStyle w:val="Prrafodelista"/>
        <w:jc w:val="both"/>
        <w:rPr>
          <w:rFonts w:ascii="Humanst521 BT" w:hAnsi="Humanst521 BT"/>
        </w:rPr>
      </w:pPr>
    </w:p>
    <w:p w14:paraId="30869472" w14:textId="77777777" w:rsidR="00A5246F" w:rsidRDefault="00A5246F" w:rsidP="00BE3D8E">
      <w:pPr>
        <w:pStyle w:val="Prrafodelista"/>
        <w:jc w:val="both"/>
        <w:rPr>
          <w:rFonts w:ascii="Humanst521 BT" w:hAnsi="Humanst521 BT"/>
        </w:rPr>
      </w:pPr>
    </w:p>
    <w:p w14:paraId="738832BC" w14:textId="69EB2C19" w:rsidR="00AD39A6" w:rsidRDefault="00AD39A6" w:rsidP="00BE3D8E">
      <w:pPr>
        <w:pStyle w:val="Prrafodelista"/>
        <w:jc w:val="both"/>
        <w:rPr>
          <w:rFonts w:ascii="Humanst521 BT" w:hAnsi="Humanst521 BT"/>
        </w:rPr>
      </w:pPr>
      <w:r w:rsidRPr="00AD39A6">
        <w:rPr>
          <w:rFonts w:ascii="Humanst521 BT" w:hAnsi="Humanst521 BT"/>
          <w:noProof/>
        </w:rPr>
        <w:drawing>
          <wp:inline distT="0" distB="0" distL="0" distR="0" wp14:anchorId="7E07B416" wp14:editId="66DAA4A7">
            <wp:extent cx="5612130" cy="2990850"/>
            <wp:effectExtent l="0" t="0" r="7620" b="0"/>
            <wp:docPr id="18612054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205481" name=""/>
                    <pic:cNvPicPr/>
                  </pic:nvPicPr>
                  <pic:blipFill>
                    <a:blip r:embed="rId6"/>
                    <a:stretch>
                      <a:fillRect/>
                    </a:stretch>
                  </pic:blipFill>
                  <pic:spPr>
                    <a:xfrm>
                      <a:off x="0" y="0"/>
                      <a:ext cx="5612130" cy="2990850"/>
                    </a:xfrm>
                    <a:prstGeom prst="rect">
                      <a:avLst/>
                    </a:prstGeom>
                  </pic:spPr>
                </pic:pic>
              </a:graphicData>
            </a:graphic>
          </wp:inline>
        </w:drawing>
      </w:r>
    </w:p>
    <w:p w14:paraId="250F2E2B" w14:textId="5C2653DA" w:rsidR="00D15DCC" w:rsidRDefault="00D15DCC" w:rsidP="00BE3D8E">
      <w:pPr>
        <w:pStyle w:val="Prrafodelista"/>
        <w:jc w:val="both"/>
        <w:rPr>
          <w:rFonts w:ascii="Humanst521 BT" w:hAnsi="Humanst521 BT"/>
        </w:rPr>
      </w:pPr>
      <w:r w:rsidRPr="00D15DCC">
        <w:rPr>
          <w:rFonts w:ascii="Humanst521 BT" w:hAnsi="Humanst521 BT"/>
          <w:noProof/>
        </w:rPr>
        <w:lastRenderedPageBreak/>
        <w:drawing>
          <wp:inline distT="0" distB="0" distL="0" distR="0" wp14:anchorId="456BC2F7" wp14:editId="5DD8FE35">
            <wp:extent cx="5612130" cy="3968115"/>
            <wp:effectExtent l="0" t="0" r="7620" b="0"/>
            <wp:docPr id="17348926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92676" name=""/>
                    <pic:cNvPicPr/>
                  </pic:nvPicPr>
                  <pic:blipFill>
                    <a:blip r:embed="rId7"/>
                    <a:stretch>
                      <a:fillRect/>
                    </a:stretch>
                  </pic:blipFill>
                  <pic:spPr>
                    <a:xfrm>
                      <a:off x="0" y="0"/>
                      <a:ext cx="5612130" cy="3968115"/>
                    </a:xfrm>
                    <a:prstGeom prst="rect">
                      <a:avLst/>
                    </a:prstGeom>
                  </pic:spPr>
                </pic:pic>
              </a:graphicData>
            </a:graphic>
          </wp:inline>
        </w:drawing>
      </w:r>
    </w:p>
    <w:p w14:paraId="608B052C" w14:textId="205CD541" w:rsidR="00E8574D" w:rsidRDefault="00E8574D" w:rsidP="00BE3D8E">
      <w:pPr>
        <w:pStyle w:val="Prrafodelista"/>
        <w:jc w:val="both"/>
        <w:rPr>
          <w:rFonts w:ascii="Humanst521 BT" w:hAnsi="Humanst521 BT"/>
        </w:rPr>
      </w:pPr>
      <w:r w:rsidRPr="00E8574D">
        <w:rPr>
          <w:rFonts w:ascii="Humanst521 BT" w:hAnsi="Humanst521 BT"/>
          <w:noProof/>
        </w:rPr>
        <w:drawing>
          <wp:inline distT="0" distB="0" distL="0" distR="0" wp14:anchorId="246DD7EF" wp14:editId="6F1ABAFF">
            <wp:extent cx="5612130" cy="2821940"/>
            <wp:effectExtent l="0" t="0" r="7620" b="0"/>
            <wp:docPr id="1753882755" name="Imagen 1"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882755" name="Imagen 1" descr="Interfaz de usuario gráfica, Texto, Aplicación, Correo electrónico&#10;&#10;Descripción generada automáticamente"/>
                    <pic:cNvPicPr/>
                  </pic:nvPicPr>
                  <pic:blipFill>
                    <a:blip r:embed="rId8"/>
                    <a:stretch>
                      <a:fillRect/>
                    </a:stretch>
                  </pic:blipFill>
                  <pic:spPr>
                    <a:xfrm>
                      <a:off x="0" y="0"/>
                      <a:ext cx="5612130" cy="2821940"/>
                    </a:xfrm>
                    <a:prstGeom prst="rect">
                      <a:avLst/>
                    </a:prstGeom>
                  </pic:spPr>
                </pic:pic>
              </a:graphicData>
            </a:graphic>
          </wp:inline>
        </w:drawing>
      </w:r>
    </w:p>
    <w:p w14:paraId="5BFAF78F" w14:textId="77777777" w:rsidR="00980D9C" w:rsidRDefault="00980D9C" w:rsidP="00BE3D8E">
      <w:pPr>
        <w:pStyle w:val="Prrafodelista"/>
        <w:jc w:val="both"/>
        <w:rPr>
          <w:rFonts w:ascii="Humanst521 BT" w:hAnsi="Humanst521 BT"/>
        </w:rPr>
      </w:pPr>
    </w:p>
    <w:p w14:paraId="5619F65B" w14:textId="77777777" w:rsidR="00980D9C" w:rsidRDefault="00980D9C" w:rsidP="00BE3D8E">
      <w:pPr>
        <w:pStyle w:val="Prrafodelista"/>
        <w:jc w:val="both"/>
        <w:rPr>
          <w:rFonts w:ascii="Humanst521 BT" w:hAnsi="Humanst521 BT"/>
        </w:rPr>
      </w:pPr>
    </w:p>
    <w:p w14:paraId="5A725186" w14:textId="45F7FFB7" w:rsidR="003D0160" w:rsidRDefault="003D0160" w:rsidP="00BE3D8E">
      <w:pPr>
        <w:pStyle w:val="Prrafodelista"/>
        <w:jc w:val="both"/>
        <w:rPr>
          <w:rFonts w:ascii="Humanst521 BT" w:hAnsi="Humanst521 BT"/>
        </w:rPr>
      </w:pPr>
      <w:r w:rsidRPr="003D0160">
        <w:rPr>
          <w:rFonts w:ascii="Humanst521 BT" w:hAnsi="Humanst521 BT"/>
          <w:noProof/>
        </w:rPr>
        <w:lastRenderedPageBreak/>
        <w:drawing>
          <wp:inline distT="0" distB="0" distL="0" distR="0" wp14:anchorId="2B7C3882" wp14:editId="46762E88">
            <wp:extent cx="5612130" cy="3795395"/>
            <wp:effectExtent l="0" t="0" r="7620" b="0"/>
            <wp:docPr id="1622723901" name="Imagen 1" descr="Interfaz de usuario gráfica,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723901" name="Imagen 1" descr="Interfaz de usuario gráfica, Tabla&#10;&#10;Descripción generada automáticamente"/>
                    <pic:cNvPicPr/>
                  </pic:nvPicPr>
                  <pic:blipFill>
                    <a:blip r:embed="rId9"/>
                    <a:stretch>
                      <a:fillRect/>
                    </a:stretch>
                  </pic:blipFill>
                  <pic:spPr>
                    <a:xfrm>
                      <a:off x="0" y="0"/>
                      <a:ext cx="5612130" cy="3795395"/>
                    </a:xfrm>
                    <a:prstGeom prst="rect">
                      <a:avLst/>
                    </a:prstGeom>
                  </pic:spPr>
                </pic:pic>
              </a:graphicData>
            </a:graphic>
          </wp:inline>
        </w:drawing>
      </w:r>
    </w:p>
    <w:p w14:paraId="3378413C" w14:textId="44924768" w:rsidR="00980D9C" w:rsidRPr="001F25CA" w:rsidRDefault="00980D9C" w:rsidP="00BE3D8E">
      <w:pPr>
        <w:pStyle w:val="Prrafodelista"/>
        <w:jc w:val="both"/>
        <w:rPr>
          <w:rFonts w:ascii="Humanst521 BT" w:hAnsi="Humanst521 BT"/>
        </w:rPr>
      </w:pPr>
      <w:r w:rsidRPr="00980D9C">
        <w:rPr>
          <w:rFonts w:ascii="Humanst521 BT" w:hAnsi="Humanst521 BT"/>
          <w:noProof/>
        </w:rPr>
        <w:drawing>
          <wp:inline distT="0" distB="0" distL="0" distR="0" wp14:anchorId="3ACA415D" wp14:editId="4541AFE6">
            <wp:extent cx="5612130" cy="1516380"/>
            <wp:effectExtent l="0" t="0" r="7620" b="7620"/>
            <wp:docPr id="686518290"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518290" name="Imagen 1" descr="Interfaz de usuario gráfica, Texto, Aplicación&#10;&#10;Descripción generada automáticamente"/>
                    <pic:cNvPicPr/>
                  </pic:nvPicPr>
                  <pic:blipFill>
                    <a:blip r:embed="rId10"/>
                    <a:stretch>
                      <a:fillRect/>
                    </a:stretch>
                  </pic:blipFill>
                  <pic:spPr>
                    <a:xfrm>
                      <a:off x="0" y="0"/>
                      <a:ext cx="5612130" cy="1516380"/>
                    </a:xfrm>
                    <a:prstGeom prst="rect">
                      <a:avLst/>
                    </a:prstGeom>
                  </pic:spPr>
                </pic:pic>
              </a:graphicData>
            </a:graphic>
          </wp:inline>
        </w:drawing>
      </w:r>
    </w:p>
    <w:sectPr w:rsidR="00980D9C" w:rsidRPr="001F25C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umanst521 BT">
    <w:panose1 w:val="020B0602020204020204"/>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E06B8E"/>
    <w:multiLevelType w:val="hybridMultilevel"/>
    <w:tmpl w:val="BE7E84AC"/>
    <w:lvl w:ilvl="0" w:tplc="F8184B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434738"/>
    <w:multiLevelType w:val="hybridMultilevel"/>
    <w:tmpl w:val="C6681B4E"/>
    <w:lvl w:ilvl="0" w:tplc="F7F079B6">
      <w:start w:val="1"/>
      <w:numFmt w:val="bullet"/>
      <w:lvlText w:val="-"/>
      <w:lvlJc w:val="left"/>
      <w:pPr>
        <w:ind w:left="1080" w:hanging="360"/>
      </w:pPr>
      <w:rPr>
        <w:rFonts w:ascii="Humanst521 BT" w:eastAsiaTheme="minorHAnsi" w:hAnsi="Humanst521 BT"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921869757">
    <w:abstractNumId w:val="0"/>
  </w:num>
  <w:num w:numId="2" w16cid:durableId="7484288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C3D"/>
    <w:rsid w:val="00010BE8"/>
    <w:rsid w:val="00012998"/>
    <w:rsid w:val="00026630"/>
    <w:rsid w:val="00026B85"/>
    <w:rsid w:val="0004113F"/>
    <w:rsid w:val="000C3A8B"/>
    <w:rsid w:val="000E186D"/>
    <w:rsid w:val="000F0707"/>
    <w:rsid w:val="00101D74"/>
    <w:rsid w:val="00123FF6"/>
    <w:rsid w:val="00140A1F"/>
    <w:rsid w:val="00167F78"/>
    <w:rsid w:val="001722A3"/>
    <w:rsid w:val="00197B26"/>
    <w:rsid w:val="001B03D8"/>
    <w:rsid w:val="001B78A1"/>
    <w:rsid w:val="001C25D9"/>
    <w:rsid w:val="001D36A6"/>
    <w:rsid w:val="001F25CA"/>
    <w:rsid w:val="002011B9"/>
    <w:rsid w:val="0022491E"/>
    <w:rsid w:val="00226D23"/>
    <w:rsid w:val="00237993"/>
    <w:rsid w:val="00245B9F"/>
    <w:rsid w:val="00254C88"/>
    <w:rsid w:val="00274D07"/>
    <w:rsid w:val="002B740E"/>
    <w:rsid w:val="002C0A58"/>
    <w:rsid w:val="002C4E1E"/>
    <w:rsid w:val="003451D7"/>
    <w:rsid w:val="00387937"/>
    <w:rsid w:val="003A4E73"/>
    <w:rsid w:val="003D0160"/>
    <w:rsid w:val="003D157F"/>
    <w:rsid w:val="004000AC"/>
    <w:rsid w:val="00415F2D"/>
    <w:rsid w:val="00433808"/>
    <w:rsid w:val="00453023"/>
    <w:rsid w:val="004A5763"/>
    <w:rsid w:val="004B6EBB"/>
    <w:rsid w:val="004C5BA8"/>
    <w:rsid w:val="004C646B"/>
    <w:rsid w:val="005045D1"/>
    <w:rsid w:val="005167EF"/>
    <w:rsid w:val="00521544"/>
    <w:rsid w:val="00525126"/>
    <w:rsid w:val="00572FE7"/>
    <w:rsid w:val="00581D23"/>
    <w:rsid w:val="005B6B14"/>
    <w:rsid w:val="005C2290"/>
    <w:rsid w:val="005E0131"/>
    <w:rsid w:val="00635B38"/>
    <w:rsid w:val="00657FA7"/>
    <w:rsid w:val="00673514"/>
    <w:rsid w:val="00681E7E"/>
    <w:rsid w:val="006A59C1"/>
    <w:rsid w:val="006D7DEC"/>
    <w:rsid w:val="006E1B3A"/>
    <w:rsid w:val="006F6602"/>
    <w:rsid w:val="007010BB"/>
    <w:rsid w:val="00722771"/>
    <w:rsid w:val="00741DAD"/>
    <w:rsid w:val="007834EC"/>
    <w:rsid w:val="00793D23"/>
    <w:rsid w:val="007E4840"/>
    <w:rsid w:val="007E6CFE"/>
    <w:rsid w:val="0082108D"/>
    <w:rsid w:val="008643C7"/>
    <w:rsid w:val="008721EB"/>
    <w:rsid w:val="00882614"/>
    <w:rsid w:val="008828F2"/>
    <w:rsid w:val="00883BF5"/>
    <w:rsid w:val="00887D08"/>
    <w:rsid w:val="00890BCC"/>
    <w:rsid w:val="008A2406"/>
    <w:rsid w:val="008A5995"/>
    <w:rsid w:val="008D21D6"/>
    <w:rsid w:val="008D7A61"/>
    <w:rsid w:val="008E0189"/>
    <w:rsid w:val="008E5050"/>
    <w:rsid w:val="008E7911"/>
    <w:rsid w:val="00902005"/>
    <w:rsid w:val="009134A6"/>
    <w:rsid w:val="00917054"/>
    <w:rsid w:val="00941DA9"/>
    <w:rsid w:val="00951F39"/>
    <w:rsid w:val="00975A9F"/>
    <w:rsid w:val="009807A2"/>
    <w:rsid w:val="00980D9C"/>
    <w:rsid w:val="00982E9E"/>
    <w:rsid w:val="009C192B"/>
    <w:rsid w:val="009D2E77"/>
    <w:rsid w:val="009D38BF"/>
    <w:rsid w:val="009D4952"/>
    <w:rsid w:val="009D5B43"/>
    <w:rsid w:val="00A5246F"/>
    <w:rsid w:val="00A63973"/>
    <w:rsid w:val="00A6793A"/>
    <w:rsid w:val="00A73366"/>
    <w:rsid w:val="00A96FAB"/>
    <w:rsid w:val="00AA30F2"/>
    <w:rsid w:val="00AA6E13"/>
    <w:rsid w:val="00AB1458"/>
    <w:rsid w:val="00AC47DA"/>
    <w:rsid w:val="00AC57CE"/>
    <w:rsid w:val="00AD2136"/>
    <w:rsid w:val="00AD39A6"/>
    <w:rsid w:val="00AE1D95"/>
    <w:rsid w:val="00AE4DE5"/>
    <w:rsid w:val="00B12B83"/>
    <w:rsid w:val="00B23A12"/>
    <w:rsid w:val="00B30803"/>
    <w:rsid w:val="00B43917"/>
    <w:rsid w:val="00B54936"/>
    <w:rsid w:val="00B65A87"/>
    <w:rsid w:val="00B70455"/>
    <w:rsid w:val="00B72CAC"/>
    <w:rsid w:val="00B72DB0"/>
    <w:rsid w:val="00BA712A"/>
    <w:rsid w:val="00BC4B70"/>
    <w:rsid w:val="00BC70BC"/>
    <w:rsid w:val="00BD0286"/>
    <w:rsid w:val="00BD55F2"/>
    <w:rsid w:val="00BE2495"/>
    <w:rsid w:val="00BE3D8E"/>
    <w:rsid w:val="00BE63ED"/>
    <w:rsid w:val="00BF0F32"/>
    <w:rsid w:val="00BF4E7E"/>
    <w:rsid w:val="00C0299A"/>
    <w:rsid w:val="00C076E6"/>
    <w:rsid w:val="00C34A08"/>
    <w:rsid w:val="00C90240"/>
    <w:rsid w:val="00C967E1"/>
    <w:rsid w:val="00CB5C3D"/>
    <w:rsid w:val="00CB7D6B"/>
    <w:rsid w:val="00D0343C"/>
    <w:rsid w:val="00D11BF4"/>
    <w:rsid w:val="00D15DCC"/>
    <w:rsid w:val="00D21DBA"/>
    <w:rsid w:val="00D353EB"/>
    <w:rsid w:val="00D40F4C"/>
    <w:rsid w:val="00D4357A"/>
    <w:rsid w:val="00D55917"/>
    <w:rsid w:val="00D81A62"/>
    <w:rsid w:val="00DA6396"/>
    <w:rsid w:val="00DB5D1E"/>
    <w:rsid w:val="00E31CDA"/>
    <w:rsid w:val="00E52D88"/>
    <w:rsid w:val="00E63A30"/>
    <w:rsid w:val="00E8574D"/>
    <w:rsid w:val="00E977B9"/>
    <w:rsid w:val="00ED044D"/>
    <w:rsid w:val="00EF4C52"/>
    <w:rsid w:val="00F22D80"/>
    <w:rsid w:val="00F235A3"/>
    <w:rsid w:val="00F25650"/>
    <w:rsid w:val="00F25958"/>
    <w:rsid w:val="00F263BB"/>
    <w:rsid w:val="00F32342"/>
    <w:rsid w:val="00F5308C"/>
    <w:rsid w:val="00F7147F"/>
    <w:rsid w:val="00F72A89"/>
    <w:rsid w:val="00F755F5"/>
    <w:rsid w:val="00FD2841"/>
    <w:rsid w:val="00FD6F8E"/>
    <w:rsid w:val="02CD98D9"/>
    <w:rsid w:val="07E45CFD"/>
    <w:rsid w:val="7295A3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26F0"/>
  <w15:chartTrackingRefBased/>
  <w15:docId w15:val="{FE4584DE-F02D-41DE-8B51-BFBCC796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CB5C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uiPriority w:val="9"/>
    <w:semiHidden/>
    <w:unhideWhenUsed/>
    <w:qFormat/>
    <w:rsid w:val="00CB5C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uiPriority w:val="9"/>
    <w:semiHidden/>
    <w:unhideWhenUsed/>
    <w:qFormat/>
    <w:rsid w:val="00CB5C3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uiPriority w:val="9"/>
    <w:semiHidden/>
    <w:unhideWhenUsed/>
    <w:qFormat/>
    <w:rsid w:val="00CB5C3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uiPriority w:val="9"/>
    <w:semiHidden/>
    <w:unhideWhenUsed/>
    <w:qFormat/>
    <w:rsid w:val="00CB5C3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uiPriority w:val="9"/>
    <w:semiHidden/>
    <w:unhideWhenUsed/>
    <w:qFormat/>
    <w:rsid w:val="00CB5C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uiPriority w:val="9"/>
    <w:semiHidden/>
    <w:unhideWhenUsed/>
    <w:qFormat/>
    <w:rsid w:val="00CB5C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uiPriority w:val="9"/>
    <w:semiHidden/>
    <w:unhideWhenUsed/>
    <w:qFormat/>
    <w:rsid w:val="00CB5C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uiPriority w:val="9"/>
    <w:semiHidden/>
    <w:unhideWhenUsed/>
    <w:qFormat/>
    <w:rsid w:val="00CB5C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Prrafodelista">
    <w:name w:val="List Paragraph"/>
    <w:basedOn w:val="Normal"/>
    <w:uiPriority w:val="34"/>
    <w:qFormat/>
    <w:rsid w:val="00CB5C3D"/>
    <w:pPr>
      <w:ind w:left="720"/>
      <w:contextualSpacing/>
    </w:pPr>
  </w:style>
  <w:style w:type="character" w:styleId="nfasisintenso">
    <w:name w:val="Intense Emphasis"/>
    <w:basedOn w:val="Fuentedeprrafopredeter"/>
    <w:uiPriority w:val="21"/>
    <w:qFormat/>
    <w:rsid w:val="00CB5C3D"/>
    <w:rPr>
      <w:i/>
      <w:iCs/>
      <w:color w:val="0F4761" w:themeColor="accent1" w:themeShade="BF"/>
    </w:rPr>
  </w:style>
  <w:style w:type="character" w:styleId="Referenciaintensa">
    <w:name w:val="Intense Reference"/>
    <w:basedOn w:val="Fuentedeprrafopredeter"/>
    <w:uiPriority w:val="32"/>
    <w:qFormat/>
    <w:rsid w:val="00CB5C3D"/>
    <w:rPr>
      <w:b/>
      <w:bCs/>
      <w:smallCaps/>
      <w:color w:val="0F4761" w:themeColor="accent1" w:themeShade="BF"/>
      <w:spacing w:val="5"/>
    </w:rPr>
  </w:style>
  <w:style w:type="character" w:customStyle="1" w:styleId="Ttulo1Car">
    <w:name w:val="Título 1 Car"/>
    <w:basedOn w:val="Fuentedeprrafopredeter"/>
    <w:uiPriority w:val="9"/>
    <w:rsid w:val="00A7336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uiPriority w:val="9"/>
    <w:semiHidden/>
    <w:rsid w:val="00A7336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uiPriority w:val="9"/>
    <w:semiHidden/>
    <w:rsid w:val="00A73366"/>
    <w:rPr>
      <w:rFonts w:eastAsiaTheme="majorEastAsia" w:cstheme="majorBidi"/>
      <w:color w:val="0F4761" w:themeColor="accent1" w:themeShade="BF"/>
      <w:sz w:val="28"/>
      <w:szCs w:val="28"/>
    </w:rPr>
  </w:style>
  <w:style w:type="character" w:customStyle="1" w:styleId="Ttulo4Car">
    <w:name w:val="Título 4 Car"/>
    <w:basedOn w:val="Fuentedeprrafopredeter"/>
    <w:uiPriority w:val="9"/>
    <w:semiHidden/>
    <w:rsid w:val="00A73366"/>
    <w:rPr>
      <w:rFonts w:eastAsiaTheme="majorEastAsia" w:cstheme="majorBidi"/>
      <w:i/>
      <w:iCs/>
      <w:color w:val="0F4761" w:themeColor="accent1" w:themeShade="BF"/>
    </w:rPr>
  </w:style>
  <w:style w:type="character" w:customStyle="1" w:styleId="Ttulo5Car">
    <w:name w:val="Título 5 Car"/>
    <w:basedOn w:val="Fuentedeprrafopredeter"/>
    <w:uiPriority w:val="9"/>
    <w:semiHidden/>
    <w:rsid w:val="00A73366"/>
    <w:rPr>
      <w:rFonts w:eastAsiaTheme="majorEastAsia" w:cstheme="majorBidi"/>
      <w:color w:val="0F4761" w:themeColor="accent1" w:themeShade="BF"/>
    </w:rPr>
  </w:style>
  <w:style w:type="character" w:customStyle="1" w:styleId="Ttulo6Car">
    <w:name w:val="Título 6 Car"/>
    <w:basedOn w:val="Fuentedeprrafopredeter"/>
    <w:uiPriority w:val="9"/>
    <w:semiHidden/>
    <w:rsid w:val="00A73366"/>
    <w:rPr>
      <w:rFonts w:eastAsiaTheme="majorEastAsia" w:cstheme="majorBidi"/>
      <w:i/>
      <w:iCs/>
      <w:color w:val="595959" w:themeColor="text1" w:themeTint="A6"/>
    </w:rPr>
  </w:style>
  <w:style w:type="character" w:customStyle="1" w:styleId="Ttulo7Car">
    <w:name w:val="Título 7 Car"/>
    <w:basedOn w:val="Fuentedeprrafopredeter"/>
    <w:uiPriority w:val="9"/>
    <w:semiHidden/>
    <w:rsid w:val="00A73366"/>
    <w:rPr>
      <w:rFonts w:eastAsiaTheme="majorEastAsia" w:cstheme="majorBidi"/>
      <w:color w:val="595959" w:themeColor="text1" w:themeTint="A6"/>
    </w:rPr>
  </w:style>
  <w:style w:type="character" w:customStyle="1" w:styleId="Ttulo8Car">
    <w:name w:val="Título 8 Car"/>
    <w:basedOn w:val="Fuentedeprrafopredeter"/>
    <w:uiPriority w:val="9"/>
    <w:semiHidden/>
    <w:rsid w:val="00A73366"/>
    <w:rPr>
      <w:rFonts w:eastAsiaTheme="majorEastAsia" w:cstheme="majorBidi"/>
      <w:i/>
      <w:iCs/>
      <w:color w:val="272727" w:themeColor="text1" w:themeTint="D8"/>
    </w:rPr>
  </w:style>
  <w:style w:type="character" w:customStyle="1" w:styleId="Ttulo9Car">
    <w:name w:val="Título 9 Car"/>
    <w:basedOn w:val="Fuentedeprrafopredeter"/>
    <w:uiPriority w:val="9"/>
    <w:semiHidden/>
    <w:rsid w:val="00A73366"/>
    <w:rPr>
      <w:rFonts w:eastAsiaTheme="majorEastAsia" w:cstheme="majorBidi"/>
      <w:color w:val="272727" w:themeColor="text1" w:themeTint="D8"/>
    </w:rPr>
  </w:style>
  <w:style w:type="character" w:customStyle="1" w:styleId="TtuloCar">
    <w:name w:val="Título Car"/>
    <w:basedOn w:val="Fuentedeprrafopredeter"/>
    <w:uiPriority w:val="10"/>
    <w:rsid w:val="00A73366"/>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uiPriority w:val="11"/>
    <w:rsid w:val="00A73366"/>
    <w:rPr>
      <w:rFonts w:eastAsiaTheme="majorEastAsia" w:cstheme="majorBidi"/>
      <w:color w:val="595959" w:themeColor="text1" w:themeTint="A6"/>
      <w:spacing w:val="15"/>
      <w:sz w:val="28"/>
      <w:szCs w:val="28"/>
    </w:rPr>
  </w:style>
  <w:style w:type="character" w:customStyle="1" w:styleId="CitaCar">
    <w:name w:val="Cita Car"/>
    <w:basedOn w:val="Fuentedeprrafopredeter"/>
    <w:uiPriority w:val="29"/>
    <w:rsid w:val="00A73366"/>
    <w:rPr>
      <w:i/>
      <w:iCs/>
      <w:color w:val="404040" w:themeColor="text1" w:themeTint="BF"/>
    </w:rPr>
  </w:style>
  <w:style w:type="character" w:customStyle="1" w:styleId="CitadestacadaCar">
    <w:name w:val="Cita destacada Car"/>
    <w:basedOn w:val="Fuentedeprrafopredeter"/>
    <w:uiPriority w:val="30"/>
    <w:rsid w:val="00A73366"/>
    <w:rPr>
      <w:i/>
      <w:iCs/>
      <w:color w:val="0F476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6</Pages>
  <Words>1175</Words>
  <Characters>6466</Characters>
  <Application>Microsoft Office Word</Application>
  <DocSecurity>0</DocSecurity>
  <Lines>53</Lines>
  <Paragraphs>15</Paragraphs>
  <ScaleCrop>false</ScaleCrop>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162</cp:revision>
  <dcterms:created xsi:type="dcterms:W3CDTF">2024-07-26T19:21:00Z</dcterms:created>
  <dcterms:modified xsi:type="dcterms:W3CDTF">2024-08-10T21:45:00Z</dcterms:modified>
</cp:coreProperties>
</file>